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72C" w:rsidRDefault="00B6272C" w:rsidP="00B6272C">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B6272C" w:rsidRDefault="00B6272C" w:rsidP="00B6272C">
      <w:pPr>
        <w:autoSpaceDE w:val="0"/>
        <w:autoSpaceDN w:val="0"/>
        <w:adjustRightInd w:val="0"/>
        <w:spacing w:after="0" w:line="240" w:lineRule="auto"/>
        <w:jc w:val="both"/>
        <w:outlineLvl w:val="0"/>
        <w:rPr>
          <w:rFonts w:ascii="Arial" w:hAnsi="Arial" w:cs="Arial"/>
          <w:sz w:val="20"/>
          <w:szCs w:val="20"/>
        </w:rPr>
      </w:pPr>
    </w:p>
    <w:p w:rsidR="00B6272C" w:rsidRDefault="00B6272C" w:rsidP="00B6272C">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26 марта 2015 г. N 36568</w:t>
      </w:r>
    </w:p>
    <w:p w:rsidR="00B6272C" w:rsidRDefault="00B6272C" w:rsidP="00B6272C">
      <w:pPr>
        <w:pBdr>
          <w:top w:val="single" w:sz="6" w:space="0" w:color="auto"/>
        </w:pBdr>
        <w:autoSpaceDE w:val="0"/>
        <w:autoSpaceDN w:val="0"/>
        <w:adjustRightInd w:val="0"/>
        <w:spacing w:before="100" w:after="100" w:line="240" w:lineRule="auto"/>
        <w:jc w:val="both"/>
        <w:rPr>
          <w:rFonts w:ascii="Arial" w:hAnsi="Arial" w:cs="Arial"/>
          <w:sz w:val="2"/>
          <w:szCs w:val="2"/>
        </w:rPr>
      </w:pP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6 марта 2015 г. N 180</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54.03.04</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РЕСТАВРАЦИЯ (УРОВЕНЬ БАКАЛАВРИАТА)</w:t>
      </w:r>
    </w:p>
    <w:p w:rsidR="00B6272C" w:rsidRDefault="00B6272C" w:rsidP="00B6272C">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B6272C">
        <w:trPr>
          <w:jc w:val="center"/>
        </w:trPr>
        <w:tc>
          <w:tcPr>
            <w:tcW w:w="10145" w:type="dxa"/>
            <w:tcBorders>
              <w:left w:val="single" w:sz="24" w:space="0" w:color="CED3F1"/>
              <w:right w:val="single" w:sz="24" w:space="0" w:color="F4F3F8"/>
            </w:tcBorders>
            <w:shd w:val="clear" w:color="auto" w:fill="F4F3F8"/>
          </w:tcPr>
          <w:p w:rsidR="00B6272C" w:rsidRDefault="00B6272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6272C" w:rsidRDefault="00B6272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09.09.2015 N 999)</w:t>
            </w:r>
          </w:p>
        </w:tc>
      </w:tr>
    </w:tbl>
    <w:p w:rsidR="00B6272C" w:rsidRDefault="00B6272C" w:rsidP="00B6272C">
      <w:pPr>
        <w:autoSpaceDE w:val="0"/>
        <w:autoSpaceDN w:val="0"/>
        <w:adjustRightInd w:val="0"/>
        <w:spacing w:after="0" w:line="240" w:lineRule="auto"/>
        <w:jc w:val="center"/>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6"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54.03.04 Реставрация (уровень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13 января 2010 г. N 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072200 Реставрация (квалификация (степень) "бакалавр")" (зарегистрирован Министерством юстиции Российской Федерации 11 февраля 2010 г., регистрационный N 16385);</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пункт 61</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Исполняющий обязанности Министра</w:t>
      </w: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А.Б.ПОВАЛКО</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6 марта 2015 г. N 180</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6"/>
      <w:bookmarkEnd w:id="0"/>
      <w:r>
        <w:rPr>
          <w:rFonts w:ascii="Arial" w:eastAsiaTheme="minorHAnsi" w:hAnsi="Arial" w:cs="Arial"/>
          <w:color w:val="auto"/>
          <w:sz w:val="20"/>
          <w:szCs w:val="20"/>
        </w:rPr>
        <w:t>ФЕДЕРАЛЬНЫЙ ГОСУДАРСТВЕННЫЙ ОБРАЗОВАТЕЛЬНЫЙ СТАНДАРТ</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ВЫСШЕГО ОБРАЗОВАНИЯ</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БАКАЛАВРИАТ</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B6272C" w:rsidRDefault="00B6272C" w:rsidP="00B6272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54.03.04 РЕСТАВРАЦИЯ</w:t>
      </w:r>
    </w:p>
    <w:p w:rsidR="00B6272C" w:rsidRDefault="00B6272C" w:rsidP="00B6272C">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B6272C">
        <w:trPr>
          <w:jc w:val="center"/>
        </w:trPr>
        <w:tc>
          <w:tcPr>
            <w:tcW w:w="10145" w:type="dxa"/>
            <w:tcBorders>
              <w:left w:val="single" w:sz="24" w:space="0" w:color="CED3F1"/>
              <w:right w:val="single" w:sz="24" w:space="0" w:color="F4F3F8"/>
            </w:tcBorders>
            <w:shd w:val="clear" w:color="auto" w:fill="F4F3F8"/>
          </w:tcPr>
          <w:p w:rsidR="00B6272C" w:rsidRDefault="00B6272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6272C" w:rsidRDefault="00B6272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0"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09.09.2015 N 999)</w:t>
            </w:r>
          </w:p>
        </w:tc>
      </w:tr>
    </w:tbl>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54.03.04 Реставрация (далее соответственно - программа бакалавриата, направление подготовки).</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организациях осуществляется в очной, очно-заочной и заочной формах обучения.</w:t>
      </w:r>
    </w:p>
    <w:p w:rsidR="00B6272C" w:rsidRDefault="00B6272C" w:rsidP="00B6272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Приказа</w:t>
        </w:r>
      </w:hyperlink>
      <w:r>
        <w:rPr>
          <w:rFonts w:ascii="Arial" w:hAnsi="Arial" w:cs="Arial"/>
          <w:sz w:val="20"/>
          <w:szCs w:val="20"/>
        </w:rPr>
        <w:t xml:space="preserve"> Минобрнауки России от 09.09.2015 N 999)</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B6272C" w:rsidRDefault="00B6272C" w:rsidP="00B6272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09.09.2015 N 999)</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B6272C" w:rsidRDefault="00B6272C" w:rsidP="00B6272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Приказа</w:t>
        </w:r>
      </w:hyperlink>
      <w:r>
        <w:rPr>
          <w:rFonts w:ascii="Arial" w:hAnsi="Arial" w:cs="Arial"/>
          <w:sz w:val="20"/>
          <w:szCs w:val="20"/>
        </w:rPr>
        <w:t xml:space="preserve"> Минобрнауки России от 09.09.2015 N 999)</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бакалавриата организация вправе применять электронное обучение и дистанционные образовательные технологии.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B6272C" w:rsidRDefault="00B6272C" w:rsidP="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выявление и атрибутирование объекта материальной культуры, определение его художественной и исторической ценности, а также категории сохранения;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организацию и проведение исследовательских и архивных изысканий и выбор оптимальной модели реставрации (консервации, реконструкции) объекта материальной культуры;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организацию и проведение комплекса реставрационных работ;</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научной отчетной документации;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мониторинга объекта материальной культуры;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создании нормативно-правовой базы в области охраны памятников.</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памятники архитектуры и архитектурно-исторической среды;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предметы живописи, графики, скульптуры, декоративно-прикладного искусства;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нормативно-правовые акты по охране и управлению культурным наследием.</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консервативно-реставрационная;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и научно-методическая;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исследовательско-проектная;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экспертная;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информационно-технологическая;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расчетно-экономическая.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 бакалавриата организация ориентируется на конкретный вид (виды) профессиональной деятельности, к которому (которым) готовится выпускник, исходя из потребностей рынка труда, научно-исследовательских и материально-технических ресурсов образовательной организации.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консервативно-реставрационная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мониторинга объекта материальной культуры;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и научно-методическая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художественной и исторической ценности, а также категории сохранения объекта материальной культуры;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исследовательско-проектная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необходимой для реставрации (консервации, реконструкции) объекта материальной культуры технической документации;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проведении комплекса реставрационных работ;</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экспертная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выявление и атрибуция объекта материальной культуры;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физическое обследование объекта культурного наследия (обмерные работы, фотофиксация);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производственно-технологических работ для исследования объекта культурного наследия;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выполнение эскизов и чертежей проектной документации объекта культурного наследия;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информационно-технологическая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и оценка состояния объекта культурного наследия;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расчетно-экономическая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сбор, анализ и систематизирование подготовительных материалов для решения задач по проектированию и расчета.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бакалавриата, должен обладать следующими общекультурными компетенциями: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общества для формирования гражданской позиции (ОК-2);</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деятельности (ОК-3);</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правовых знаний в различных сферах деятельности (ОК-4);</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коллективе, толерантно воспринимая социальные, этнические, конфессиональные и культурные различия (ОК-6);</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первой помощи, методы защиты в условиях чрезвычайных ситуаций (ОК-9).</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общей культурой, пониманием места архитектуры и реставрации в комплексе экономики, науки и культуры (ОПК-1);</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пониманием сущности и социальной значимости своей будущей профессии, основных проблем дисциплин, определяющих конкретную область его деятельности, видением их взаимосвязи в целостной системе знаний (ОПК-2);</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правила техники безопасности, производственной санитарии, пожарной безопасности и нормы охраны труда, измерять и оценивать параметры производственного микроклимата, уровня запыленности и загазованности, шума и вибрации, освещенности рабочих мест (ОПК-3);</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кооперации с коллегами и работе в коллективе (ОПК-4);</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организации работы малых коллективов (творческих мастерских) исполнителей (ОПК-5);</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современные методы исследования объектов культурного наследия, поставить цель и сформулировать задачи, связанные с реализацией профессиональных функций (ОПК-6);</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демонстрировать знания законодательного обеспечения охраны памятников культурного наследия (ОПК-7);</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(ОПК-8).</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консервативно-реставрационная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и подбирать методики, технологии и материалы для консервационных и реставрационных работ (ПК-1);</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современные информационные технологии, управлять информацией с использованием прикладных программ деловой сферы деятельности, использовать сетевые компьютерные технологии и базы данных в своей предметной области, пакеты прикладных программ для расчета технологических параметров при проведении консервационных и реставрационных работ (ПК-2);</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нормативные и правовые документы при реставрации, реконструкции, воссоздании и охране памятников культуры (ПК-3);</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обосновывать принятие конкретного технического решения при проведении консервационных и реставрационных работ, а также выбирать технические средства и технологии с учетом экологических последствий их применения (ПК-4);</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технологический процесс при реставрационном комплексе работ как объект управления (ПК-5);</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определять стоимостную оценку основных производственных ресурсов (ПК-6);</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работу исполнителей, находить и принимать управленческие решения в области организации и нормирования труда (ПК-7);</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систематизировать и обобщать информацию по использованию и формированию ресурсов предприятия (ПК-8);</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и научно-методическая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изучать научно-техническую информацию, отечественный и зарубежный опыт по тематике исследования (ПК-9);</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спланировать необходимый эксперимент, получить результаты и исследовать их (ПК-10);</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вести методологическую работу по совершенствованию способов консервации и реставрации (ПК-11);</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исследовательско-проектная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проектной деятельности в профессиональной сфере на основе системного подхода, умением строить и использовать модели для описания и прогнозирования различных явлений, осуществлять их качественный и количественный анализ (ПК-12);</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вести техническую документацию по проделанной работе на объектах культурного наследия с графическим оформлением и ведением журналов этих работ (ПК-13);</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научно-проектную и научно-производственную документацию реставрационной деятельности (ПК-14);</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технологические процессы реставрации с использованием автоматизированных систем технологической подготовки данных работ (ПК-15);</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экспертная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демонстрировать теорию историко-культурных исследований (ПК-16);</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владением описанием и анализом недвижимых объектов культурного наследия (ПК-17);</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оформлять документы по выполненной работе в органах архитектурного и технического надзора за памятниками культурного наследия (ПК-18);</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составлять отчеты по итогам проделанной работы на памятниках культурного наследия, сдавать их в архивы (ПК-19);</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выполнения обмерных работ на объекте культурного наследия (ПК-20);</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отбора проб материалов для лабораторных анализов (ПК-21);</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описывать состояние объекта культурного наследия (ПК-22);</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выполнять фотофиксацию объекта культурного наследия (ПК-23);</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информационно-технологическая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профессиональными пакетами программ (ПК-24);</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 пользоваться электронно-измерительными приборами (ПК-25);</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расчетно-экономическая деятельность: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умением подсчета объема реставрационных работ на объекте культурного наследия (ПК-26);</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технологией сметно-финансового расчета (ПК-27).</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hyperlink w:anchor="Par205"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hyperlink w:anchor="Par216" w:history="1">
        <w:r>
          <w:rPr>
            <w:rFonts w:ascii="Arial" w:hAnsi="Arial" w:cs="Arial"/>
            <w:color w:val="0000FF"/>
            <w:sz w:val="20"/>
            <w:szCs w:val="20"/>
          </w:rPr>
          <w:t>Блок 2</w:t>
        </w:r>
      </w:hyperlink>
      <w:r>
        <w:rPr>
          <w:rFonts w:ascii="Arial" w:hAnsi="Arial" w:cs="Arial"/>
          <w:sz w:val="20"/>
          <w:szCs w:val="20"/>
        </w:rPr>
        <w:t xml:space="preserve"> "Практики", который в полном объеме относится к вариативной части программы.</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hyperlink w:anchor="Par223"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&lt;1&gt; </w:t>
      </w:r>
      <w:hyperlink r:id="rId14" w:history="1">
        <w:r>
          <w:rPr>
            <w:rFonts w:ascii="Arial" w:hAnsi="Arial" w:cs="Arial"/>
            <w:color w:val="0000FF"/>
            <w:sz w:val="20"/>
            <w:szCs w:val="20"/>
          </w:rPr>
          <w:t>Подпункт 5.2.1</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B6272C" w:rsidRDefault="00B6272C" w:rsidP="00B6272C">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2"/>
        <w:gridCol w:w="4778"/>
        <w:gridCol w:w="1714"/>
        <w:gridCol w:w="1715"/>
      </w:tblGrid>
      <w:tr w:rsidR="00B6272C">
        <w:tc>
          <w:tcPr>
            <w:tcW w:w="6210" w:type="dxa"/>
            <w:gridSpan w:val="2"/>
            <w:vMerge w:val="restart"/>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3429" w:type="dxa"/>
            <w:gridSpan w:val="2"/>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B6272C">
        <w:tc>
          <w:tcPr>
            <w:tcW w:w="6210" w:type="dxa"/>
            <w:gridSpan w:val="2"/>
            <w:vMerge/>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both"/>
              <w:rPr>
                <w:rFonts w:ascii="Arial" w:hAnsi="Arial" w:cs="Arial"/>
                <w:sz w:val="20"/>
                <w:szCs w:val="20"/>
              </w:rPr>
            </w:pP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B6272C">
        <w:tc>
          <w:tcPr>
            <w:tcW w:w="1432"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bookmarkStart w:id="1" w:name="Par205"/>
            <w:bookmarkEnd w:id="1"/>
            <w:r>
              <w:rPr>
                <w:rFonts w:ascii="Arial" w:hAnsi="Arial" w:cs="Arial"/>
                <w:sz w:val="20"/>
                <w:szCs w:val="20"/>
              </w:rPr>
              <w:t>Блок 1</w:t>
            </w: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210 - 213</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198 - 204</w:t>
            </w:r>
          </w:p>
        </w:tc>
      </w:tr>
      <w:tr w:rsidR="00B6272C">
        <w:tc>
          <w:tcPr>
            <w:tcW w:w="1432" w:type="dxa"/>
            <w:vMerge w:val="restart"/>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90 - 111</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78 - 102</w:t>
            </w:r>
          </w:p>
        </w:tc>
      </w:tr>
      <w:tr w:rsidR="00B6272C">
        <w:tc>
          <w:tcPr>
            <w:tcW w:w="1432" w:type="dxa"/>
            <w:vMerge/>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both"/>
              <w:rPr>
                <w:rFonts w:ascii="Arial" w:hAnsi="Arial" w:cs="Arial"/>
                <w:sz w:val="20"/>
                <w:szCs w:val="20"/>
              </w:rPr>
            </w:pP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102 - 120</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102 - 120</w:t>
            </w:r>
          </w:p>
        </w:tc>
      </w:tr>
      <w:tr w:rsidR="00B6272C">
        <w:tc>
          <w:tcPr>
            <w:tcW w:w="1432" w:type="dxa"/>
            <w:vMerge w:val="restart"/>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bookmarkStart w:id="2" w:name="Par216"/>
            <w:bookmarkEnd w:id="2"/>
            <w:r>
              <w:rPr>
                <w:rFonts w:ascii="Arial" w:hAnsi="Arial" w:cs="Arial"/>
                <w:sz w:val="20"/>
                <w:szCs w:val="20"/>
              </w:rPr>
              <w:t>Блок 2</w:t>
            </w: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18 - 24</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27 - 36</w:t>
            </w:r>
          </w:p>
        </w:tc>
      </w:tr>
      <w:tr w:rsidR="00B6272C">
        <w:tc>
          <w:tcPr>
            <w:tcW w:w="1432" w:type="dxa"/>
            <w:vMerge/>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both"/>
              <w:rPr>
                <w:rFonts w:ascii="Arial" w:hAnsi="Arial" w:cs="Arial"/>
                <w:sz w:val="20"/>
                <w:szCs w:val="20"/>
              </w:rPr>
            </w:pP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18 - 24</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27 - 36</w:t>
            </w:r>
          </w:p>
        </w:tc>
      </w:tr>
      <w:tr w:rsidR="00B6272C">
        <w:tc>
          <w:tcPr>
            <w:tcW w:w="1432" w:type="dxa"/>
            <w:vMerge w:val="restart"/>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bookmarkStart w:id="3" w:name="Par223"/>
            <w:bookmarkEnd w:id="3"/>
            <w:r>
              <w:rPr>
                <w:rFonts w:ascii="Arial" w:hAnsi="Arial" w:cs="Arial"/>
                <w:sz w:val="20"/>
                <w:szCs w:val="20"/>
              </w:rPr>
              <w:t>Блок 3</w:t>
            </w: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B6272C">
        <w:tc>
          <w:tcPr>
            <w:tcW w:w="1432" w:type="dxa"/>
            <w:vMerge/>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both"/>
              <w:rPr>
                <w:rFonts w:ascii="Arial" w:hAnsi="Arial" w:cs="Arial"/>
                <w:sz w:val="20"/>
                <w:szCs w:val="20"/>
              </w:rPr>
            </w:pPr>
          </w:p>
        </w:tc>
        <w:tc>
          <w:tcPr>
            <w:tcW w:w="4778"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B6272C">
        <w:tc>
          <w:tcPr>
            <w:tcW w:w="6210" w:type="dxa"/>
            <w:gridSpan w:val="2"/>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1714"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1715" w:type="dxa"/>
            <w:tcBorders>
              <w:top w:val="single" w:sz="4" w:space="0" w:color="auto"/>
              <w:left w:val="single" w:sz="4" w:space="0" w:color="auto"/>
              <w:bottom w:val="single" w:sz="4" w:space="0" w:color="auto"/>
              <w:right w:val="single" w:sz="4" w:space="0" w:color="auto"/>
            </w:tcBorders>
          </w:tcPr>
          <w:p w:rsidR="00B6272C" w:rsidRDefault="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ar205" w:history="1">
        <w:r>
          <w:rPr>
            <w:rFonts w:ascii="Arial" w:hAnsi="Arial" w:cs="Arial"/>
            <w:color w:val="0000FF"/>
            <w:sz w:val="20"/>
            <w:szCs w:val="20"/>
          </w:rPr>
          <w:t>Блока 1</w:t>
        </w:r>
      </w:hyperlink>
      <w:r>
        <w:rPr>
          <w:rFonts w:ascii="Arial" w:hAnsi="Arial" w:cs="Arial"/>
          <w:sz w:val="20"/>
          <w:szCs w:val="20"/>
        </w:rP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базовой части </w:t>
      </w:r>
      <w:hyperlink w:anchor="Par205" w:history="1">
        <w:r>
          <w:rPr>
            <w:rFonts w:ascii="Arial" w:hAnsi="Arial" w:cs="Arial"/>
            <w:color w:val="0000FF"/>
            <w:sz w:val="20"/>
            <w:szCs w:val="20"/>
          </w:rPr>
          <w:t>Блока 1</w:t>
        </w:r>
      </w:hyperlink>
      <w:r>
        <w:rPr>
          <w:rFonts w:ascii="Arial" w:hAnsi="Arial" w:cs="Arial"/>
          <w:sz w:val="20"/>
          <w:szCs w:val="20"/>
        </w:rPr>
        <w:t xml:space="preserve"> "Дисциплины (модули)" программы бакалавриата в объеме не менее 72 академических часов (2 зачетные единицы) в очной форме обучения;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w:t>
      </w:r>
      <w:r>
        <w:rPr>
          <w:rFonts w:ascii="Arial" w:hAnsi="Arial" w:cs="Arial"/>
          <w:sz w:val="20"/>
          <w:szCs w:val="20"/>
        </w:rPr>
        <w:lastRenderedPageBreak/>
        <w:t>направленности (профиля) программы набор соответствующих дисциплин (модулей) и практик становится обязательным для освоения обучающимся.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216"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исполнительская.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223"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Реализация части (частей) бакалавриата, направленной (направленных) на подготовку к творческой и (или) творческо-исполнительской деятельности, и проведение государственной итоговой аттестации не допускается с применением электронного обучения, дистанционных образовательных технологий.</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ar205"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6.11. Количество часов, отведенных на занятия лекционного типа в целом по </w:t>
      </w:r>
      <w:hyperlink w:anchor="Par205"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30 процентов от общего количества часов аудиторных занятий, отведенных на реализацию данного Блока.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lastRenderedPageBreak/>
        <w:t>VII. ТРЕБОВАНИЯ К УСЛОВИЯМ РЕАЛИЗАЦИИ</w:t>
      </w:r>
    </w:p>
    <w:p w:rsidR="00B6272C" w:rsidRDefault="00B6272C" w:rsidP="00B6272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5"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6"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7"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8"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10 процентов.</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B6272C" w:rsidRDefault="00B6272C" w:rsidP="00B6272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9"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autoSpaceDE w:val="0"/>
        <w:autoSpaceDN w:val="0"/>
        <w:adjustRightInd w:val="0"/>
        <w:spacing w:after="0" w:line="240" w:lineRule="auto"/>
        <w:jc w:val="both"/>
        <w:rPr>
          <w:rFonts w:ascii="Arial" w:hAnsi="Arial" w:cs="Arial"/>
          <w:sz w:val="20"/>
          <w:szCs w:val="20"/>
        </w:rPr>
      </w:pPr>
    </w:p>
    <w:p w:rsidR="00B6272C" w:rsidRDefault="00B6272C" w:rsidP="00B6272C">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B6272C">
      <w:bookmarkStart w:id="4" w:name="_GoBack"/>
      <w:bookmarkEnd w:id="4"/>
    </w:p>
    <w:sectPr w:rsidR="00363C1B" w:rsidSect="00097C2D">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A3"/>
    <w:rsid w:val="000A1D57"/>
    <w:rsid w:val="00263CA3"/>
    <w:rsid w:val="002F3ACB"/>
    <w:rsid w:val="00B6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F287686FD464769F3C20F13DB4F8060056C56C33574EF5F2F7CBF4AEA85CFA242FC8874F568F51AF6C397ACFd7fBH" TargetMode="External"/><Relationship Id="rId13" Type="http://schemas.openxmlformats.org/officeDocument/2006/relationships/hyperlink" Target="consultantplus://offline/ref=5CF287686FD464769F3C20F13DB4F806005FC46B36524EF5F2F7CBF4AEA85CFA362F908B4E519153AC796F2B8A260ED458BAB9749703ABB8dFf8H" TargetMode="External"/><Relationship Id="rId18" Type="http://schemas.openxmlformats.org/officeDocument/2006/relationships/hyperlink" Target="consultantplus://offline/ref=5CF287686FD464769F3C20F13DB4F8060052C36A335D4EF5F2F7CBF4AEA85CFA362F908B4E519151A9796F2B8A260ED458BAB9749703ABB8dFf8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5CF287686FD464769F3C20F13DB4F806035FC469345D4EF5F2F7CBF4AEA85CFA362F908B4E519154AD796F2B8A260ED458BAB9749703ABB8dFf8H" TargetMode="External"/><Relationship Id="rId12" Type="http://schemas.openxmlformats.org/officeDocument/2006/relationships/hyperlink" Target="consultantplus://offline/ref=5CF287686FD464769F3C20F13DB4F806005FC46B36524EF5F2F7CBF4AEA85CFA362F908B4E519153AC796F2B8A260ED458BAB9749703ABB8dFf8H" TargetMode="External"/><Relationship Id="rId17" Type="http://schemas.openxmlformats.org/officeDocument/2006/relationships/hyperlink" Target="consultantplus://offline/ref=5CF287686FD464769F3C20F13DB4F8060056C16B34534EF5F2F7CBF4AEA85CFA362F908B4E519150A6796F2B8A260ED458BAB9749703ABB8dFf8H" TargetMode="External"/><Relationship Id="rId2" Type="http://schemas.microsoft.com/office/2007/relationships/stylesWithEffects" Target="stylesWithEffects.xml"/><Relationship Id="rId16" Type="http://schemas.openxmlformats.org/officeDocument/2006/relationships/hyperlink" Target="consultantplus://offline/ref=5CF287686FD464769F3C20F13DB4F806035FC566305C4EF5F2F7CBF4AEA85CFA242FC8874F568F51AF6C397ACFd7fB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CF287686FD464769F3C20F13DB4F806005FC46B36524EF5F2F7CBF4AEA85CFA362F908B4E519153AE796F2B8A260ED458BAB9749703ABB8dFf8H" TargetMode="External"/><Relationship Id="rId11" Type="http://schemas.openxmlformats.org/officeDocument/2006/relationships/hyperlink" Target="consultantplus://offline/ref=5CF287686FD464769F3C20F13DB4F806005FC46B36524EF5F2F7CBF4AEA85CFA362F908B4E519153AD796F2B8A260ED458BAB9749703ABB8dFf8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CF287686FD464769F3C20F13DB4F8060257C16632504EF5F2F7CBF4AEA85CFA242FC8874F568F51AF6C397ACFd7fBH" TargetMode="External"/><Relationship Id="rId10" Type="http://schemas.openxmlformats.org/officeDocument/2006/relationships/hyperlink" Target="consultantplus://offline/ref=5CF287686FD464769F3C20F13DB4F806005FC46B36524EF5F2F7CBF4AEA85CFA362F908B4E519153AE796F2B8A260ED458BAB9749703ABB8dFf8H" TargetMode="External"/><Relationship Id="rId19" Type="http://schemas.openxmlformats.org/officeDocument/2006/relationships/hyperlink" Target="consultantplus://offline/ref=5CF287686FD464769F3C20F13DB4F8060052C16E35554EF5F2F7CBF4AEA85CFA362F908B4E519151AD796F2B8A260ED458BAB9749703ABB8dFf8H" TargetMode="External"/><Relationship Id="rId4" Type="http://schemas.openxmlformats.org/officeDocument/2006/relationships/webSettings" Target="webSettings.xml"/><Relationship Id="rId9" Type="http://schemas.openxmlformats.org/officeDocument/2006/relationships/hyperlink" Target="consultantplus://offline/ref=5CF287686FD464769F3C20F13DB4F8060050C46D33504EF5F2F7CBF4AEA85CFA362F908B4E519254AB796F2B8A260ED458BAB9749703ABB8dFf8H" TargetMode="External"/><Relationship Id="rId14" Type="http://schemas.openxmlformats.org/officeDocument/2006/relationships/hyperlink" Target="consultantplus://offline/ref=5CF287686FD464769F3C20F13DB4F806035EC56930564EF5F2F7CBF4AEA85CFA362F908B4E519152AE796F2B8A260ED458BAB9749703ABB8dFf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5472</Words>
  <Characters>31195</Characters>
  <Application>Microsoft Office Word</Application>
  <DocSecurity>0</DocSecurity>
  <Lines>259</Lines>
  <Paragraphs>73</Paragraphs>
  <ScaleCrop>false</ScaleCrop>
  <Company/>
  <LinksUpToDate>false</LinksUpToDate>
  <CharactersWithSpaces>36594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2018-10-17T07:31:00Z</dcterms:created>
  <dcterms:modified xsi:type="dcterms:W3CDTF">2018-10-17T07:31:00Z</dcterms:modified>
</cp:coreProperties>
</file>