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27 августа 2020 г. N 59498</w:t>
      </w:r>
    </w:p>
    <w:p w:rsidR="004E51B8" w:rsidRDefault="004E51B8" w:rsidP="004E51B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13 августа 2020 г. N 1015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54.03.01 ДИЗАЙН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5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54.03.01 Дизайн (далее - стандарт).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54.03.01 Дизайн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11 августа 2016 г. N 1004 (зарегистрирован Министерством юстиции Российской Федерации 25 августа 2016 г., регистрационный N 43405), прекращается 31 декабря 2020 года.</w:t>
      </w:r>
      <w:proofErr w:type="gram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августа 2020 г. N 1015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37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54.03.01 ДИЗАЙН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5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54.03.01 Дизайн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 и очно-заочной формах.</w:t>
      </w:r>
      <w:proofErr w:type="gramEnd"/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исключительно электронного обучения, дистанционных образовательных технологий не допускается &lt;1&gt;.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Часть 3 статьи 16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&lt;2&gt;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1"/>
      <w:bookmarkEnd w:id="2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5"/>
      <w:bookmarkEnd w:id="3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5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форме обучения, а также по индивидуальному учебному плану, в том числе при ускоренном обучении;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0"/>
      <w:bookmarkEnd w:id="4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сферах: дошкольного, начального общего, основного общего образования, профессионального образования, дополнительного образования; научных исследований);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04</w:t>
        </w:r>
      </w:hyperlink>
      <w:r>
        <w:rPr>
          <w:rFonts w:ascii="Arial" w:hAnsi="Arial" w:cs="Arial"/>
          <w:sz w:val="20"/>
          <w:szCs w:val="20"/>
        </w:rPr>
        <w:t xml:space="preserve"> Культура, искусство (в сферах: дизайна; культурно-просветительской и художественно-творческой деятельности; изобразительного искусства);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10</w:t>
        </w:r>
      </w:hyperlink>
      <w:r>
        <w:rPr>
          <w:rFonts w:ascii="Arial" w:hAnsi="Arial" w:cs="Arial"/>
          <w:sz w:val="20"/>
          <w:szCs w:val="20"/>
        </w:rPr>
        <w:t xml:space="preserve"> Архитектура, проектирование, геодезия, топография и дизайн (в сфере дизайна);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11</w:t>
        </w:r>
      </w:hyperlink>
      <w:r>
        <w:rPr>
          <w:rFonts w:ascii="Arial" w:hAnsi="Arial" w:cs="Arial"/>
          <w:sz w:val="20"/>
          <w:szCs w:val="20"/>
        </w:rPr>
        <w:t xml:space="preserve"> Средства массовой информации, издательство и полиграфия (в сфере дизайна);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21</w:t>
        </w:r>
      </w:hyperlink>
      <w:r>
        <w:rPr>
          <w:rFonts w:ascii="Arial" w:hAnsi="Arial" w:cs="Arial"/>
          <w:sz w:val="20"/>
          <w:szCs w:val="20"/>
        </w:rPr>
        <w:t xml:space="preserve"> Легкая и текстильная промышленность (в сфере дизайна);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31</w:t>
        </w:r>
      </w:hyperlink>
      <w:r>
        <w:rPr>
          <w:rFonts w:ascii="Arial" w:hAnsi="Arial" w:cs="Arial"/>
          <w:sz w:val="20"/>
          <w:szCs w:val="20"/>
        </w:rPr>
        <w:t xml:space="preserve"> Автомобилестроение (в сфере дизайна);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40</w:t>
        </w:r>
      </w:hyperlink>
      <w:r>
        <w:rPr>
          <w:rFonts w:ascii="Arial" w:hAnsi="Arial" w:cs="Arial"/>
          <w:sz w:val="20"/>
          <w:szCs w:val="20"/>
        </w:rPr>
        <w:t xml:space="preserve"> Сквозные виды профессиональной деятельности (в сфере дизайна).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82"/>
      <w:bookmarkEnd w:id="5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художественный;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информационно-технологический;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сферу (сферы) профессиональной деятельности выпускников;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309"/>
        <w:gridCol w:w="3628"/>
      </w:tblGrid>
      <w:tr w:rsidR="004E51B8"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51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8"/>
            <w:bookmarkEnd w:id="6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180</w:t>
            </w:r>
          </w:p>
        </w:tc>
      </w:tr>
      <w:tr w:rsidR="004E51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11"/>
            <w:bookmarkEnd w:id="7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30</w:t>
            </w:r>
          </w:p>
        </w:tc>
      </w:tr>
      <w:tr w:rsidR="004E51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Par114"/>
            <w:bookmarkEnd w:id="8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4E51B8">
        <w:tc>
          <w:tcPr>
            <w:tcW w:w="5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20"/>
      <w:bookmarkEnd w:id="9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25"/>
      <w:bookmarkEnd w:id="10"/>
      <w:r>
        <w:rPr>
          <w:rFonts w:ascii="Arial" w:hAnsi="Arial" w:cs="Arial"/>
          <w:sz w:val="20"/>
          <w:szCs w:val="20"/>
        </w:rPr>
        <w:t xml:space="preserve">2.4. В </w:t>
      </w: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учебно-ознакомительная практика;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проектно-технологическая практика;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практика;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25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25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в часть, формируемую участниками образовательных отношений.</w:t>
      </w:r>
      <w:proofErr w:type="gramEnd"/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60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Реализация части (частей)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направленной (направленных) на подготовку выпускников к творческой профессиональной деятельности, и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2.12.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аудиторная контактная работа предусматривает групповую работу обучающихся с преподавателем (в группах численностью от двух человек) и индивидуальную работу обучающихся с преподавателем.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контактной работы обучающихся с педагогическими работниками Организации при проведении учебных занятий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должен составлять в очной форме обучения - не менее 30 процентов, в очно-заочной форме обучения - от 10 процентов до 20 процентов общего объема времени, отводимого на реализацию дисциплин (модулей).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УК-4. Способен осуществлять деловую коммуникацию в устной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Межкультурное взаимодействие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E51B8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E51B8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Профессиональная ориентация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Научные исследования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творческого процесса дизайнеров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дизайн-объектов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Создание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авторского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дизайн-проекта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Организаторская деятельность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организовывать, проводить и участвовать в выставках, конкурсах, фестивалях и других творческих мероприятиях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Информационно-коммуникационные технологии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4E51B8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ОПК-7.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</w:tr>
      <w:tr w:rsidR="004E51B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культурная политика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ориентироваться в проблематике современной культурной политики Российской Федерации</w:t>
            </w:r>
          </w:p>
        </w:tc>
      </w:tr>
    </w:tbl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87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&lt;5&gt;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82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&lt;6&gt; Федеральный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закон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Приказа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26.11.2020 N 1456)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(народный художник Российской Федерации, заслуженный деятель искусств Российской Федерации, заслуженный художник Российской Федерации, заслуженный работник культуры Российской Федерации); лауреаты государственных премий в области культуры и искусства;</w:t>
      </w:r>
      <w:proofErr w:type="gramEnd"/>
      <w:r>
        <w:rPr>
          <w:rFonts w:ascii="Arial" w:hAnsi="Arial" w:cs="Arial"/>
          <w:sz w:val="20"/>
          <w:szCs w:val="20"/>
        </w:rPr>
        <w:t xml:space="preserve"> обладатели премий Правительства Российской Федерации в области культуры и искусства, действительные и почетные члены, члены-корреспонденты Российской академии художеств, Российской академии архитектуры и строительных наук; члены Союза художников Российской Федерации, Творческого союза художников Российской Федерации, Союза дизайнеров Российской Федерации, Союза архитекторов Российской Федерации.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4E51B8" w:rsidRDefault="004E51B8" w:rsidP="004E51B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образовательному стандарту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 54.03.01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Дизайн, </w:t>
      </w: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 и высшего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 Российской Федерации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августа 2019 г. N 1015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87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4E51B8" w:rsidRDefault="004E51B8" w:rsidP="004E51B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54.03.01 ДИЗАЙН</w:t>
      </w:r>
    </w:p>
    <w:p w:rsidR="004E51B8" w:rsidRDefault="004E51B8" w:rsidP="004E5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7370"/>
      </w:tblGrid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4E51B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Образование и наука</w:t>
            </w:r>
          </w:p>
        </w:tc>
      </w:tr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4E51B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Средства массовой информации, издательство и полиграфия</w:t>
            </w:r>
          </w:p>
        </w:tc>
      </w:tr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"Графический дизайнер", утвержденный приказом Министерства труда и социальной защиты Российской Федерации от 17 января 2017 г. N 40н (зарегистрирован Министерством юстиции Российской Федерации 27 января 2017 г., регистрационный N 45442)</w:t>
            </w:r>
          </w:p>
        </w:tc>
      </w:tr>
      <w:tr w:rsidR="004E51B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Легкая и текстильная промышленность</w:t>
            </w:r>
          </w:p>
        </w:tc>
      </w:tr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"Дизайнер детской игровой среды и продукции", утвержденный приказом Министерства труда и социальной защиты Российской Федерации от 18 ноября 2014 г. N 892н (зарегистрирован Министерством юстиции Российской Федерации 9 декабря 2014 г., регистрационный N 35113),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января 2017 г.,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регистрационный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 45230)</w:t>
            </w:r>
          </w:p>
        </w:tc>
      </w:tr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"Дизайнер детской одежды и обуви", утвержденный приказом Министерства труда и социальной защиты Российской Федерации от 4 декабря 2014 г. N 974н (зарегистрирован Министерством юстиции Российской Федерации 17 декабря 2014 г., регистрационный N 35251),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2017 г., регистрационный N 45230)</w:t>
            </w:r>
            <w:proofErr w:type="gramEnd"/>
          </w:p>
        </w:tc>
      </w:tr>
      <w:tr w:rsidR="004E51B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Автомобилестроение</w:t>
            </w:r>
          </w:p>
        </w:tc>
      </w:tr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"Дизайнер автомобилестроения", утвержденный приказом Министерства труда и социальной защиты Российской Федерации 28 октября 2014 г. N 813н (зарегистрирован Министерством юстиции Российской Федерации 26 ноября 2014 г., регистрационный N 34948)</w:t>
            </w:r>
          </w:p>
        </w:tc>
      </w:tr>
      <w:tr w:rsidR="004E51B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Сквозные виды профессиональной деятельности в промышленности</w:t>
            </w:r>
          </w:p>
        </w:tc>
      </w:tr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40.059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"Промышленный дизайнер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эргономист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)", утвержденный приказом Министерства труда и социальной защиты Российской Федерации от 18 ноября 2014 г. N 894н (зарегистрирован Министерством юстиции Российской Федерации 16 декабря 2014 г., регистрационный N 35189),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 регистрационный N 45230)</w:t>
            </w:r>
          </w:p>
        </w:tc>
      </w:tr>
      <w:tr w:rsidR="004E51B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40.137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1B8" w:rsidRDefault="004E51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"Дизайнер транспортных средств", утвержденный приказом Министерства труда и социальной защиты Российской Федерации от 29 декабря 2015 г. N 1174н (зарегистрирован Министерством юстиции Российской Федерации 28 января 2016 г., регистрационный N 40850)</w:t>
            </w:r>
          </w:p>
        </w:tc>
      </w:tr>
    </w:tbl>
    <w:p w:rsidR="002A5940" w:rsidRDefault="004E51B8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94"/>
    <w:rsid w:val="004E51B8"/>
    <w:rsid w:val="00671E61"/>
    <w:rsid w:val="00866DC1"/>
    <w:rsid w:val="00B6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F5EA08E28878EA6F47388CCAE7FD7508EC4312A8EDD4ACC6187C0B287AC80D4E49B835C8380E2D9BD16ECB3B8DCB428847FA16C0058A3FOEv5L" TargetMode="External"/><Relationship Id="rId13" Type="http://schemas.openxmlformats.org/officeDocument/2006/relationships/hyperlink" Target="consultantplus://offline/ref=3CF5EA08E28878EA6F47388CCAE7FD7508ED441CADE5D4ACC6187C0B287AC80D4E49B835C8380E2998D16ECB3B8DCB428847FA16C0058A3FOEv5L" TargetMode="External"/><Relationship Id="rId18" Type="http://schemas.openxmlformats.org/officeDocument/2006/relationships/hyperlink" Target="consultantplus://offline/ref=3CF5EA08E28878EA6F47388CCAE7FD7508ED441CADE5D4ACC6187C0B287AC80D4E49B835C8380F2D98D16ECB3B8DCB428847FA16C0058A3FOEv5L" TargetMode="External"/><Relationship Id="rId26" Type="http://schemas.openxmlformats.org/officeDocument/2006/relationships/hyperlink" Target="consultantplus://offline/ref=3CF5EA08E28878EA6F47388CCAE7FD7508EC4313AFE0D4ACC6187C0B287AC80D4E49B835C8380E2D98D16ECB3B8DCB428847FA16C0058A3FOEv5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CF5EA08E28878EA6F47388CCAE7FD7508ED441CADE5D4ACC6187C0B287AC80D4E49B835C8380E2C9ED16ECB3B8DCB428847FA16C0058A3FOEv5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3CF5EA08E28878EA6F47388CCAE7FD7509EE421DAFE3D4ACC6187C0B287AC80D4E49B835C8380E2B9AD16ECB3B8DCB428847FA16C0058A3FOEv5L" TargetMode="External"/><Relationship Id="rId12" Type="http://schemas.openxmlformats.org/officeDocument/2006/relationships/hyperlink" Target="consultantplus://offline/ref=3CF5EA08E28878EA6F47388CCAE7FD7508ED441CADE5D4ACC6187C0B287AC80D4E49B835C8380E289FD16ECB3B8DCB428847FA16C0058A3FOEv5L" TargetMode="External"/><Relationship Id="rId17" Type="http://schemas.openxmlformats.org/officeDocument/2006/relationships/hyperlink" Target="consultantplus://offline/ref=3CF5EA08E28878EA6F47388CCAE7FD7508ED441CADE5D4ACC6187C0B287AC80D4E49B835C8380E2598D16ECB3B8DCB428847FA16C0058A3FOEv5L" TargetMode="External"/><Relationship Id="rId25" Type="http://schemas.openxmlformats.org/officeDocument/2006/relationships/hyperlink" Target="consultantplus://offline/ref=3CF5EA08E28878EA6F47388CCAE7FD7509E4451EA8E1D4ACC6187C0B287AC80D4E49B835C83807289FD16ECB3B8DCB428847FA16C0058A3FOEv5L" TargetMode="External"/><Relationship Id="rId33" Type="http://schemas.openxmlformats.org/officeDocument/2006/relationships/hyperlink" Target="consultantplus://offline/ref=3CF5EA08E28878EA6F47388CCAE7FD750BE54313A6EDD4ACC6187C0B287AC80D4E49B835C8380E2C91D16ECB3B8DCB428847FA16C0058A3FOEv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F5EA08E28878EA6F47388CCAE7FD7508ED441CADE5D4ACC6187C0B287AC80D4E49B835C8380E2B98D16ECB3B8DCB428847FA16C0058A3FOEv5L" TargetMode="External"/><Relationship Id="rId20" Type="http://schemas.openxmlformats.org/officeDocument/2006/relationships/hyperlink" Target="consultantplus://offline/ref=3CF5EA08E28878EA6F47388CCAE7FD7509E4451BA8ECD4ACC6187C0B287AC80D4E49B835C83B0B2E98D16ECB3B8DCB428847FA16C0058A3FOEv5L" TargetMode="External"/><Relationship Id="rId29" Type="http://schemas.openxmlformats.org/officeDocument/2006/relationships/hyperlink" Target="consultantplus://offline/ref=3CF5EA08E28878EA6F47388CCAE7FD7508ED411DADE1D4ACC6187C0B287AC80D4E49B835C8380E2C91D16ECB3B8DCB428847FA16C0058A3FOEv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F5EA08E28878EA6F47388CCAE7FD7509E4421EA6E6D4ACC6187C0B287AC80D4E49B835C8380E2991D16ECB3B8DCB428847FA16C0058A3FOEv5L" TargetMode="External"/><Relationship Id="rId11" Type="http://schemas.openxmlformats.org/officeDocument/2006/relationships/hyperlink" Target="consultantplus://offline/ref=3CF5EA08E28878EA6F47388CCAE7FD7509E4491AA8E1D4ACC6187C0B287AC80D4E49B835C8380C2891D16ECB3B8DCB428847FA16C0058A3FOEv5L" TargetMode="External"/><Relationship Id="rId24" Type="http://schemas.openxmlformats.org/officeDocument/2006/relationships/hyperlink" Target="consultantplus://offline/ref=3CF5EA08E28878EA6F47388CCAE7FD7509E4451BA8ECD4ACC6187C0B287AC80D4E49B835C83B0B2D9FD16ECB3B8DCB428847FA16C0058A3FOEv5L" TargetMode="External"/><Relationship Id="rId32" Type="http://schemas.openxmlformats.org/officeDocument/2006/relationships/hyperlink" Target="consultantplus://offline/ref=3CF5EA08E28878EA6F47388CCAE7FD7508ED411DADE7D4ACC6187C0B287AC80D4E49B835C8380E2D98D16ECB3B8DCB428847FA16C0058A3FOEv5L" TargetMode="External"/><Relationship Id="rId5" Type="http://schemas.openxmlformats.org/officeDocument/2006/relationships/hyperlink" Target="consultantplus://offline/ref=3CF5EA08E28878EA6F47388CCAE7FD7509E4451BA8ECD4ACC6187C0B287AC80D4E49B835C83B0B2D9ED16ECB3B8DCB428847FA16C0058A3FOEv5L" TargetMode="External"/><Relationship Id="rId15" Type="http://schemas.openxmlformats.org/officeDocument/2006/relationships/hyperlink" Target="consultantplus://offline/ref=3CF5EA08E28878EA6F47388CCAE7FD7508ED441CADE5D4ACC6187C0B287AC80D4E49B835C8380E2A90D16ECB3B8DCB428847FA16C0058A3FOEv5L" TargetMode="External"/><Relationship Id="rId23" Type="http://schemas.openxmlformats.org/officeDocument/2006/relationships/hyperlink" Target="consultantplus://offline/ref=3CF5EA08E28878EA6F47388CCAE7FD7509E4491DA9EDD4ACC6187C0B287AC80D5C49E039C831102C90C4389A7DODv9L" TargetMode="External"/><Relationship Id="rId28" Type="http://schemas.openxmlformats.org/officeDocument/2006/relationships/hyperlink" Target="consultantplus://offline/ref=3CF5EA08E28878EA6F47388CCAE7FD7508ED421AADE6D4ACC6187C0B287AC80D4E49B835C8380E2C91D16ECB3B8DCB428847FA16C0058A3FOEv5L" TargetMode="External"/><Relationship Id="rId10" Type="http://schemas.openxmlformats.org/officeDocument/2006/relationships/hyperlink" Target="consultantplus://offline/ref=3CF5EA08E28878EA6F47388CCAE7FD7509E4491AA8E1D4ACC6187C0B287AC80D4E49B836C93F0578C99E6F977FD1D8428947F81EDCO0v6L" TargetMode="External"/><Relationship Id="rId19" Type="http://schemas.openxmlformats.org/officeDocument/2006/relationships/hyperlink" Target="consultantplus://offline/ref=3CF5EA08E28878EA6F47388CCAE7FD7508ED441CADE5D4ACC6187C0B287AC80D4E49B835C8380F2D9ED16ECB3B8DCB428847FA16C0058A3FOEv5L" TargetMode="External"/><Relationship Id="rId31" Type="http://schemas.openxmlformats.org/officeDocument/2006/relationships/hyperlink" Target="consultantplus://offline/ref=3CF5EA08E28878EA6F47388CCAE7FD750BEE4618A7E2D4ACC6187C0B287AC80D4E49B835C8380E2C91D16ECB3B8DCB428847FA16C0058A3FOEv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F5EA08E28878EA6F47388CCAE7FD7509E4451BA8ECD4ACC6187C0B287AC80D4E49B835C83B0B2D9ED16ECB3B8DCB428847FA16C0058A3FOEv5L" TargetMode="External"/><Relationship Id="rId14" Type="http://schemas.openxmlformats.org/officeDocument/2006/relationships/hyperlink" Target="consultantplus://offline/ref=3CF5EA08E28878EA6F47388CCAE7FD7508ED441CADE5D4ACC6187C0B287AC80D4E49B835C8380E299ED16ECB3B8DCB428847FA16C0058A3FOEv5L" TargetMode="External"/><Relationship Id="rId22" Type="http://schemas.openxmlformats.org/officeDocument/2006/relationships/hyperlink" Target="consultantplus://offline/ref=3CF5EA08E28878EA6F47388CCAE7FD750BE84612A8E5D4ACC6187C0B287AC80D5C49E039C831102C90C4389A7DODv9L" TargetMode="External"/><Relationship Id="rId27" Type="http://schemas.openxmlformats.org/officeDocument/2006/relationships/hyperlink" Target="consultantplus://offline/ref=3CF5EA08E28878EA6F47388CCAE7FD7509EC4513AFECD4ACC6187C0B287AC80D4E49B835C8380E2D98D16ECB3B8DCB428847FA16C0058A3FOEv5L" TargetMode="External"/><Relationship Id="rId30" Type="http://schemas.openxmlformats.org/officeDocument/2006/relationships/hyperlink" Target="consultantplus://offline/ref=3CF5EA08E28878EA6F47388CCAE7FD7508ED411FA6E2D4ACC6187C0B287AC80D4E49B835C8380E2C91D16ECB3B8DCB428847FA16C0058A3FOEv5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6415</Words>
  <Characters>36570</Characters>
  <Application>Microsoft Office Word</Application>
  <DocSecurity>0</DocSecurity>
  <Lines>304</Lines>
  <Paragraphs>85</Paragraphs>
  <ScaleCrop>false</ScaleCrop>
  <Company/>
  <LinksUpToDate>false</LinksUpToDate>
  <CharactersWithSpaces>42900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2021-08-09T11:45:00Z</dcterms:created>
  <dcterms:modified xsi:type="dcterms:W3CDTF">2021-08-09T11:47:00Z</dcterms:modified>
</cp:coreProperties>
</file>