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6B4" w:rsidRDefault="000976B4" w:rsidP="000976B4">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0976B4" w:rsidRDefault="000976B4" w:rsidP="000976B4">
      <w:pPr>
        <w:autoSpaceDE w:val="0"/>
        <w:autoSpaceDN w:val="0"/>
        <w:adjustRightInd w:val="0"/>
        <w:spacing w:after="0" w:line="240" w:lineRule="auto"/>
        <w:jc w:val="both"/>
        <w:outlineLvl w:val="0"/>
        <w:rPr>
          <w:rFonts w:ascii="Arial" w:hAnsi="Arial" w:cs="Arial"/>
          <w:sz w:val="20"/>
          <w:szCs w:val="20"/>
        </w:rPr>
      </w:pPr>
    </w:p>
    <w:p w:rsidR="000976B4" w:rsidRDefault="000976B4" w:rsidP="000976B4">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25 августа 2016 г. N 43414</w:t>
      </w:r>
    </w:p>
    <w:p w:rsidR="000976B4" w:rsidRDefault="000976B4" w:rsidP="000976B4">
      <w:pPr>
        <w:pBdr>
          <w:top w:val="single" w:sz="6" w:space="0" w:color="auto"/>
        </w:pBdr>
        <w:autoSpaceDE w:val="0"/>
        <w:autoSpaceDN w:val="0"/>
        <w:adjustRightInd w:val="0"/>
        <w:spacing w:before="100" w:after="100" w:line="240" w:lineRule="auto"/>
        <w:jc w:val="both"/>
        <w:rPr>
          <w:rFonts w:ascii="Arial" w:hAnsi="Arial" w:cs="Arial"/>
          <w:sz w:val="2"/>
          <w:szCs w:val="2"/>
        </w:rPr>
      </w:pP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11 августа 2016 г. N 997</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42.03.01 РЕКЛАМА И СВЯЗИ С ОБЩЕСТВЕННОСТЬЮ</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БАКАЛАВРИАТА)</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и </w:t>
      </w:r>
      <w:hyperlink r:id="rId6"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приказываю:</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5"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42.03.01 Реклама и связи с общественностью (уровень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hyperlink r:id="rId7"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29 марта 2010 г. N 221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031600 Реклама и связи с общественностью (квалификация (степень) "бакалавр")" (зарегистрирован Министерством юстиции Российской Федерации 11 мая 2010 г., регистрационный N 17166);</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пункт 25</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Исполняющая обязанности Министра</w:t>
      </w:r>
    </w:p>
    <w:p w:rsidR="000976B4" w:rsidRDefault="000976B4" w:rsidP="000976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Н.В.ТРЕТЬЯК</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0976B4" w:rsidRDefault="000976B4" w:rsidP="000976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0976B4" w:rsidRDefault="000976B4" w:rsidP="000976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0976B4" w:rsidRDefault="000976B4" w:rsidP="000976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11 августа 2016 г. N 997</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5"/>
      <w:bookmarkEnd w:id="0"/>
      <w:r>
        <w:rPr>
          <w:rFonts w:ascii="Arial" w:eastAsiaTheme="minorHAnsi" w:hAnsi="Arial" w:cs="Arial"/>
          <w:color w:val="auto"/>
          <w:sz w:val="20"/>
          <w:szCs w:val="20"/>
        </w:rPr>
        <w:t>ФЕДЕРАЛЬНЫЙ ГОСУДАРСТВЕННЫЙ ОБРАЗОВАТЕЛЬНЫЙ СТАНДАРТ</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НАПРАВЛЕНИЮ ПОДГОТОВКИ</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42.03.01 РЕКЛАМА И СВЯЗИ С ОБЩЕСТВЕННОСТЬЮ</w:t>
      </w:r>
    </w:p>
    <w:p w:rsidR="000976B4" w:rsidRDefault="000976B4" w:rsidP="000976B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БАКАЛАВРИАТА)</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42.03.01 Реклама и связи с общественностью (далее соответственно - программа бакалавриата, направление подготовки).</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бакалавриата в организации осуществляется в очной, очно-заочной и заочной формах обучения.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ускоренного обучения.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При реализации программы бакалавриата организация вправе применять электронное обучение и дистанционные образовательные технологии.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бакалавриата возможна с использованием сетевой формы.</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0976B4" w:rsidRDefault="000976B4" w:rsidP="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БАКАЛАВРИАТА</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бакалавриата, включает:</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коммуникационные процессы в межличностной, социальной, политической, экономической, культурной, образовательной и научной сферах;</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техники и технологии массовых, деловых и персональных коммуникаций;</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технологии и техники пропаганды конкурентных свойств товаров, услуг, коммерческих компаний, некоммерческих и общественных организаций, государственных органов и учреждений, их позиционирование в рыночной среде;</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общественное мнение.</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бакалавриата, являются: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федеральные органы государственной власти, органы государственной власти субъектов Российской Федерации, органы местного самоуправления;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негосударственные, общественные и коммерческие организации, средства массовой информации;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научные организации и организации, осуществляющие образовательную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производственные и сервисные предприятия.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коммуникационная;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рекламно-информационная;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рыночно-исследовательская и прогнозно-аналитическая;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информационно-технологическая.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управлении, планировании и организации работы рекламных служб и служб по связям с общественностью фирмы и организации;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формировании эффективных внутренних коммуникаций, создании благоприятного психологического климата в коллективе;</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проектировании программ и отдельных мероприятий в области рекламы и связей с общественностью, обеспечение средств и методов реализации проектов, участие в организации работы проектных команд;</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проектной и сопутствующей документации (технико-экономическое обоснование, техническое задание, бизнес-план, креативный бриф, соглашение, договор, контракт);</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коммуникационная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создании эффективной коммуникационной инфраструктуры организации, обеспечении внутренней и внешней коммуникации, в том числе с государственными органами, общественными организациями, коммерческими структурами, средствами массовой информации;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формировании и поддержании корпоративной культуры;</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рекламно-информационная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подготовка к выпуску, производство и распространение рекламной продукции, включая текстовые и графические, рабочие и презентационные материалы в рамках традиционных и современных средств рекламы;</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рыночно-исследовательская и прогнозно-аналитическая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организации и проведении маркетинговых и социологических исследований;</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написание аналитических справок, обзоров и прогнозов;</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информационно-технологическая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разработке, подготовке к выпуску, производстве и распространении рекламной продукции, включая текстовые и графические, рабочие и презентационные материалы;</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подготовке проектной и сопутствующей документации, связанной с проведением рекламных кампаний и отдельных мероприятий (технико-экономическое обоснование, техническое задание, бизнес-план, креативный бриф, соглашение, договор, контракт);</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проектировании и технологическом обеспечении реализуемых проектов.</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БАКАЛАВРИАТА</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5.2. Выпускник, освоивший программу бакалавриата, должен обладать следующими общекультурными компетенциями: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философских знаний для формирования мировоззренческой позиции (ОК-1);</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основные этапы и закономерности исторического развития общества для формирования гражданской позиции (ОК-2);</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экономических знаний в различных сферах жизнедеятельности (ОК-3);</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правовых знаний в различных сферах жизнедеятельности (ОК-4);</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работать в коллективе, толерантно воспринимая социальные, этнические, конфессиональные и культурные различия (ОК-6);</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самоорганизации и самообразованию (ОК-7);</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пользоваться основными методами защиты производственного персонала и населения от возможных последствий аварий, катастроф, стихийных бедствий (ОК-9).</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бакалавриата, должен обладать следующими общепрофессиональными компетенциями: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под контролем профессиональные функции в области рекламы и связей с общественностью в различных структурах (ОПК-1);</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знаниями и навыками работы в отделах рекламы и отделах связей с общественностью (ОПК-2);</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обладанием базовыми навыками создания текстов рекламы и связей с общественностью, владением навыками литературного редактирования, копирайтинга (ОПК-3);</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планировать и организовывать под контролем коммуникационные кампании и мероприятия (ОПК-4);</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проводить под контролем коммуникационные кампании и мероприятия (ПК-5);</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(ОПК-6).</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принимать участие в управлении и организации работы рекламных служб и служб по связям с общественностью, осуществлять оперативное планирование и оперативный контроль рекламной работы, деятельности по связям с общественностью, проводить мероприятия по повышению имиджа фирмы, продвижению товаров и услуг на рынок, оценивать эффективность рекламной деятельности и связей с общественностью (ПК-1);</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по организации и оперативному планированию своей деятельности и деятельности фирмы (ПК-2);</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владением навыками организационно-управленческой работы с малыми коллективами (ПК-3);</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подготовки проектной документации (технико-экономическое обоснование, техническое задание, бизнес-план, креативный бриф, соглашение, договор, контракт) (ПК-4);</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реализовывать проекты и владением методами их реализации (ПК-5);</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коммуникационная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участвовать в создании эффективной коммуникационной инфраструктуры организации, обеспечении внутренней и внешней коммуникации (ПК-6);</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принимать участие в планировании, подготовке и проведении коммуникационных кампаний и мероприятий (ПК-7);</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рекламно-информационная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организовывать подготовку к выпуску, производство и распространение рекламной продукции, включая текстовые и графические, рабочие и презентационные материалы в рамках традиционных и современных средств рекламы (ПК-8);</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рыночно-исследовательская и прогнозно-аналитическая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проводить маркетинговые исследования (ПК-9);</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организовывать и проводить социологические исследования (ПК-10);</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владеть навыками написания аналитических справок, обзоров и прогнозов (ПК-11);</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информационно-технологическая деятельность: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под контролем осуществлять профессиональные функции в области рекламы в общественных, производственных, коммерческих структурах, средствах массовой информации (ПК-12);</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под контролем осуществлять рекламные кампании и мероприятия (ПК-13);</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реализовывать знания в области рекламы как сферы профессиональной деятельности (ПК-14);</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работы в отделе рекламы, маркетинговом отделе, рекламном агентстве (ПК-15);</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под контролем осуществлять подготовку к выпуску, производство и распространение рекламной продукции, включая текстовые и графические, рабочие и презентационные материалы (ПК-16).</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БАКАЛАВРИАТА</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w:t>
      </w:r>
      <w:r>
        <w:rPr>
          <w:rFonts w:ascii="Arial" w:hAnsi="Arial" w:cs="Arial"/>
          <w:sz w:val="20"/>
          <w:szCs w:val="20"/>
        </w:rPr>
        <w:lastRenderedPageBreak/>
        <w:t>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бакалавриата состоит из следующих блоков:</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hyperlink w:anchor="Par179" w:history="1">
        <w:r>
          <w:rPr>
            <w:rFonts w:ascii="Arial" w:hAnsi="Arial" w:cs="Arial"/>
            <w:color w:val="0000FF"/>
            <w:sz w:val="20"/>
            <w:szCs w:val="20"/>
          </w:rPr>
          <w:t>Блок 1</w:t>
        </w:r>
      </w:hyperlink>
      <w:r>
        <w:rPr>
          <w:rFonts w:ascii="Arial" w:hAnsi="Arial" w:cs="Arial"/>
          <w:sz w:val="20"/>
          <w:szCs w:val="20"/>
        </w:rP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hyperlink w:anchor="Par190" w:history="1">
        <w:r>
          <w:rPr>
            <w:rFonts w:ascii="Arial" w:hAnsi="Arial" w:cs="Arial"/>
            <w:color w:val="0000FF"/>
            <w:sz w:val="20"/>
            <w:szCs w:val="20"/>
          </w:rPr>
          <w:t>Блок 2</w:t>
        </w:r>
      </w:hyperlink>
      <w:r>
        <w:rPr>
          <w:rFonts w:ascii="Arial" w:hAnsi="Arial" w:cs="Arial"/>
          <w:sz w:val="20"/>
          <w:szCs w:val="20"/>
        </w:rPr>
        <w:t xml:space="preserve"> "Практики", который в полном объеме относится к вариативной части программы;</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hyperlink w:anchor="Par197"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направлений подготовки высшего образования, утвержденном Министерством образования и науки Российской Федерации &lt;1&gt;.</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9" w:history="1">
        <w:r>
          <w:rPr>
            <w:rFonts w:ascii="Arial" w:hAnsi="Arial" w:cs="Arial"/>
            <w:color w:val="0000FF"/>
            <w:sz w:val="20"/>
            <w:szCs w:val="20"/>
          </w:rPr>
          <w:t>Перечень</w:t>
        </w:r>
      </w:hyperlink>
      <w:r>
        <w:rPr>
          <w:rFonts w:ascii="Arial" w:hAnsi="Arial" w:cs="Arial"/>
          <w:sz w:val="20"/>
          <w:szCs w:val="20"/>
        </w:rP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бакалавриата</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0976B4" w:rsidRDefault="000976B4" w:rsidP="000976B4">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68"/>
        <w:gridCol w:w="4474"/>
        <w:gridCol w:w="2009"/>
        <w:gridCol w:w="2009"/>
      </w:tblGrid>
      <w:tr w:rsidR="000976B4">
        <w:tc>
          <w:tcPr>
            <w:tcW w:w="5642" w:type="dxa"/>
            <w:gridSpan w:val="2"/>
            <w:vMerge w:val="restart"/>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бакалавриата</w:t>
            </w:r>
          </w:p>
        </w:tc>
        <w:tc>
          <w:tcPr>
            <w:tcW w:w="4018" w:type="dxa"/>
            <w:gridSpan w:val="2"/>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бакалавриата в з.е.</w:t>
            </w:r>
          </w:p>
        </w:tc>
      </w:tr>
      <w:tr w:rsidR="000976B4">
        <w:tc>
          <w:tcPr>
            <w:tcW w:w="5642" w:type="dxa"/>
            <w:gridSpan w:val="2"/>
            <w:vMerge/>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both"/>
              <w:rPr>
                <w:rFonts w:ascii="Arial" w:hAnsi="Arial" w:cs="Arial"/>
                <w:sz w:val="20"/>
                <w:szCs w:val="20"/>
              </w:rPr>
            </w:pP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академического бакалавриата</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прикладного бакалавриата</w:t>
            </w:r>
          </w:p>
        </w:tc>
      </w:tr>
      <w:tr w:rsidR="000976B4">
        <w:tc>
          <w:tcPr>
            <w:tcW w:w="1168"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bookmarkStart w:id="1" w:name="Par179"/>
            <w:bookmarkEnd w:id="1"/>
            <w:r>
              <w:rPr>
                <w:rFonts w:ascii="Arial" w:hAnsi="Arial" w:cs="Arial"/>
                <w:sz w:val="20"/>
                <w:szCs w:val="20"/>
              </w:rPr>
              <w:t>Блок 1</w:t>
            </w:r>
          </w:p>
        </w:tc>
        <w:tc>
          <w:tcPr>
            <w:tcW w:w="4474"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189 - 195</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165 - 177</w:t>
            </w:r>
          </w:p>
        </w:tc>
      </w:tr>
      <w:tr w:rsidR="000976B4">
        <w:tc>
          <w:tcPr>
            <w:tcW w:w="1168" w:type="dxa"/>
            <w:vMerge w:val="restart"/>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p>
        </w:tc>
        <w:tc>
          <w:tcPr>
            <w:tcW w:w="4474"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bookmarkStart w:id="2" w:name="Par184"/>
            <w:bookmarkEnd w:id="2"/>
            <w:r>
              <w:rPr>
                <w:rFonts w:ascii="Arial" w:hAnsi="Arial" w:cs="Arial"/>
                <w:sz w:val="20"/>
                <w:szCs w:val="20"/>
              </w:rPr>
              <w:t>Базовая часть</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141 - 159</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117 - 141</w:t>
            </w:r>
          </w:p>
        </w:tc>
      </w:tr>
      <w:tr w:rsidR="000976B4">
        <w:tc>
          <w:tcPr>
            <w:tcW w:w="1168" w:type="dxa"/>
            <w:vMerge/>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both"/>
              <w:rPr>
                <w:rFonts w:ascii="Arial" w:hAnsi="Arial" w:cs="Arial"/>
                <w:sz w:val="20"/>
                <w:szCs w:val="20"/>
              </w:rPr>
            </w:pPr>
          </w:p>
        </w:tc>
        <w:tc>
          <w:tcPr>
            <w:tcW w:w="4474"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bookmarkStart w:id="3" w:name="Par187"/>
            <w:bookmarkEnd w:id="3"/>
            <w:r>
              <w:rPr>
                <w:rFonts w:ascii="Arial" w:hAnsi="Arial" w:cs="Arial"/>
                <w:sz w:val="20"/>
                <w:szCs w:val="20"/>
              </w:rPr>
              <w:t>Вариативная часть</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36 - 48</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36 - 48</w:t>
            </w:r>
          </w:p>
        </w:tc>
      </w:tr>
      <w:tr w:rsidR="000976B4">
        <w:tc>
          <w:tcPr>
            <w:tcW w:w="1168" w:type="dxa"/>
            <w:vMerge w:val="restart"/>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bookmarkStart w:id="4" w:name="Par190"/>
            <w:bookmarkEnd w:id="4"/>
            <w:r>
              <w:rPr>
                <w:rFonts w:ascii="Arial" w:hAnsi="Arial" w:cs="Arial"/>
                <w:sz w:val="20"/>
                <w:szCs w:val="20"/>
              </w:rPr>
              <w:t>Блок 2</w:t>
            </w:r>
          </w:p>
        </w:tc>
        <w:tc>
          <w:tcPr>
            <w:tcW w:w="4474"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36 - 45</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54 - 69</w:t>
            </w:r>
          </w:p>
        </w:tc>
      </w:tr>
      <w:tr w:rsidR="000976B4">
        <w:tc>
          <w:tcPr>
            <w:tcW w:w="1168" w:type="dxa"/>
            <w:vMerge/>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both"/>
              <w:rPr>
                <w:rFonts w:ascii="Arial" w:hAnsi="Arial" w:cs="Arial"/>
                <w:sz w:val="20"/>
                <w:szCs w:val="20"/>
              </w:rPr>
            </w:pPr>
          </w:p>
        </w:tc>
        <w:tc>
          <w:tcPr>
            <w:tcW w:w="4474"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36 - 45</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54 - 69</w:t>
            </w:r>
          </w:p>
        </w:tc>
      </w:tr>
      <w:tr w:rsidR="000976B4">
        <w:tc>
          <w:tcPr>
            <w:tcW w:w="1168" w:type="dxa"/>
            <w:vMerge w:val="restart"/>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bookmarkStart w:id="5" w:name="Par197"/>
            <w:bookmarkEnd w:id="5"/>
            <w:r>
              <w:rPr>
                <w:rFonts w:ascii="Arial" w:hAnsi="Arial" w:cs="Arial"/>
                <w:sz w:val="20"/>
                <w:szCs w:val="20"/>
              </w:rPr>
              <w:t>Блок 3</w:t>
            </w:r>
          </w:p>
        </w:tc>
        <w:tc>
          <w:tcPr>
            <w:tcW w:w="4474"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0976B4">
        <w:tc>
          <w:tcPr>
            <w:tcW w:w="1168" w:type="dxa"/>
            <w:vMerge/>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both"/>
              <w:rPr>
                <w:rFonts w:ascii="Arial" w:hAnsi="Arial" w:cs="Arial"/>
                <w:sz w:val="20"/>
                <w:szCs w:val="20"/>
              </w:rPr>
            </w:pPr>
          </w:p>
        </w:tc>
        <w:tc>
          <w:tcPr>
            <w:tcW w:w="4474" w:type="dxa"/>
            <w:tcBorders>
              <w:top w:val="single" w:sz="4" w:space="0" w:color="auto"/>
              <w:left w:val="single" w:sz="4" w:space="0" w:color="auto"/>
              <w:bottom w:val="single" w:sz="4" w:space="0" w:color="auto"/>
              <w:right w:val="single" w:sz="4" w:space="0" w:color="auto"/>
            </w:tcBorders>
            <w:vAlign w:val="bottom"/>
          </w:tcPr>
          <w:p w:rsidR="000976B4" w:rsidRDefault="000976B4">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2009" w:type="dxa"/>
            <w:tcBorders>
              <w:top w:val="single" w:sz="4" w:space="0" w:color="auto"/>
              <w:left w:val="single" w:sz="4" w:space="0" w:color="auto"/>
              <w:bottom w:val="single" w:sz="4" w:space="0" w:color="auto"/>
              <w:right w:val="single" w:sz="4" w:space="0" w:color="auto"/>
            </w:tcBorders>
            <w:vAlign w:val="bottom"/>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2009" w:type="dxa"/>
            <w:tcBorders>
              <w:top w:val="single" w:sz="4" w:space="0" w:color="auto"/>
              <w:left w:val="single" w:sz="4" w:space="0" w:color="auto"/>
              <w:bottom w:val="single" w:sz="4" w:space="0" w:color="auto"/>
              <w:right w:val="single" w:sz="4" w:space="0" w:color="auto"/>
            </w:tcBorders>
            <w:vAlign w:val="bottom"/>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0976B4">
        <w:tc>
          <w:tcPr>
            <w:tcW w:w="5642" w:type="dxa"/>
            <w:gridSpan w:val="2"/>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бакалавриата</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c>
          <w:tcPr>
            <w:tcW w:w="2009" w:type="dxa"/>
            <w:tcBorders>
              <w:top w:val="single" w:sz="4" w:space="0" w:color="auto"/>
              <w:left w:val="single" w:sz="4" w:space="0" w:color="auto"/>
              <w:bottom w:val="single" w:sz="4" w:space="0" w:color="auto"/>
              <w:right w:val="single" w:sz="4" w:space="0" w:color="auto"/>
            </w:tcBorders>
          </w:tcPr>
          <w:p w:rsidR="000976B4" w:rsidRDefault="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6.4. Дисциплины (модули) по философии, истории, иностранному языку, безопасности жизнедеятельности реализуются в рамках </w:t>
      </w:r>
      <w:hyperlink w:anchor="Par184" w:history="1">
        <w:r>
          <w:rPr>
            <w:rFonts w:ascii="Arial" w:hAnsi="Arial" w:cs="Arial"/>
            <w:color w:val="0000FF"/>
            <w:sz w:val="20"/>
            <w:szCs w:val="20"/>
          </w:rPr>
          <w:t>базовой части</w:t>
        </w:r>
      </w:hyperlink>
      <w:r>
        <w:rPr>
          <w:rFonts w:ascii="Arial" w:hAnsi="Arial" w:cs="Arial"/>
          <w:sz w:val="20"/>
          <w:szCs w:val="20"/>
        </w:rPr>
        <w:t xml:space="preserve">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Дисциплины (модули) по физической культуре и спорту реализуются в рамках:</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hyperlink w:anchor="Par184" w:history="1">
        <w:r>
          <w:rPr>
            <w:rFonts w:ascii="Arial" w:hAnsi="Arial" w:cs="Arial"/>
            <w:color w:val="0000FF"/>
            <w:sz w:val="20"/>
            <w:szCs w:val="20"/>
          </w:rPr>
          <w:t>базовой части</w:t>
        </w:r>
      </w:hyperlink>
      <w:r>
        <w:rPr>
          <w:rFonts w:ascii="Arial" w:hAnsi="Arial" w:cs="Arial"/>
          <w:sz w:val="20"/>
          <w:szCs w:val="20"/>
        </w:rPr>
        <w:t xml:space="preserve"> Блока 1 "Дисциплины (модули)" программы бакалавриата в объеме не менее 72 академических часов (2 з.е.) в очной форме обучения;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элективных дисциплин (модулей) в объеме не менее 328 академических часов. Указанные академические часы являются обязательными для освоения и в з.е. не переводятся.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В </w:t>
      </w:r>
      <w:hyperlink w:anchor="Par190" w:history="1">
        <w:r>
          <w:rPr>
            <w:rFonts w:ascii="Arial" w:hAnsi="Arial" w:cs="Arial"/>
            <w:color w:val="0000FF"/>
            <w:sz w:val="20"/>
            <w:szCs w:val="20"/>
          </w:rPr>
          <w:t>Блок 2</w:t>
        </w:r>
      </w:hyperlink>
      <w:r>
        <w:rPr>
          <w:rFonts w:ascii="Arial" w:hAnsi="Arial" w:cs="Arial"/>
          <w:sz w:val="20"/>
          <w:szCs w:val="20"/>
        </w:rPr>
        <w:t xml:space="preserve"> "Практики" входят учебная и производственная, в том числе преддипломная практики.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 учебной практики: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учебной практики: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работа.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производственной практики: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Учебная и (или) производственная практики могут проводиться в структурных подразделениях организации.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6.8. В </w:t>
      </w:r>
      <w:hyperlink w:anchor="Par197"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w:t>
      </w:r>
      <w:hyperlink w:anchor="Par187" w:history="1">
        <w:r>
          <w:rPr>
            <w:rFonts w:ascii="Arial" w:hAnsi="Arial" w:cs="Arial"/>
            <w:color w:val="0000FF"/>
            <w:sz w:val="20"/>
            <w:szCs w:val="20"/>
          </w:rPr>
          <w:t>вариативной части</w:t>
        </w:r>
      </w:hyperlink>
      <w:r>
        <w:rPr>
          <w:rFonts w:ascii="Arial" w:hAnsi="Arial" w:cs="Arial"/>
          <w:sz w:val="20"/>
          <w:szCs w:val="20"/>
        </w:rPr>
        <w:t xml:space="preserve"> Блока 1 "Дисциплины (модули)".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6.10. Количество часов, отведенных на занятия лекционного типа, в целом по </w:t>
      </w:r>
      <w:hyperlink w:anchor="Par179" w:history="1">
        <w:r>
          <w:rPr>
            <w:rFonts w:ascii="Arial" w:hAnsi="Arial" w:cs="Arial"/>
            <w:color w:val="0000FF"/>
            <w:sz w:val="20"/>
            <w:szCs w:val="20"/>
          </w:rPr>
          <w:t>Блоку 1</w:t>
        </w:r>
      </w:hyperlink>
      <w:r>
        <w:rPr>
          <w:rFonts w:ascii="Arial" w:hAnsi="Arial" w:cs="Arial"/>
          <w:sz w:val="20"/>
          <w:szCs w:val="20"/>
        </w:rPr>
        <w:t xml:space="preserve"> "Дисциплины (модули)" должно составлять не более 40 процентов от общего количества часов аудиторных занятий, отведенных на реализацию данного Блока.</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w:t>
      </w:r>
    </w:p>
    <w:p w:rsidR="000976B4" w:rsidRDefault="000976B4" w:rsidP="000976B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ПРОГРАММЫ БАКАЛАВРИАТА</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программы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0"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11" w:history="1">
        <w:r>
          <w:rPr>
            <w:rFonts w:ascii="Arial" w:hAnsi="Arial" w:cs="Arial"/>
            <w:color w:val="0000FF"/>
            <w:sz w:val="20"/>
            <w:szCs w:val="20"/>
          </w:rPr>
          <w:t>закон</w:t>
        </w:r>
      </w:hyperlink>
      <w:r>
        <w:rPr>
          <w:rFonts w:ascii="Arial" w:hAnsi="Arial" w:cs="Arial"/>
          <w:sz w:val="20"/>
          <w:szCs w:val="20"/>
        </w:rPr>
        <w:t xml:space="preserve"> от 27 июля 2006 г. N </w:t>
      </w:r>
      <w:r>
        <w:rPr>
          <w:rFonts w:ascii="Arial" w:hAnsi="Arial" w:cs="Arial"/>
          <w:sz w:val="20"/>
          <w:szCs w:val="20"/>
        </w:rPr>
        <w:lastRenderedPageBreak/>
        <w:t>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2" w:history="1">
        <w:r>
          <w:rPr>
            <w:rFonts w:ascii="Arial" w:hAnsi="Arial" w:cs="Arial"/>
            <w:color w:val="0000FF"/>
            <w:sz w:val="20"/>
            <w:szCs w:val="20"/>
          </w:rPr>
          <w:t>справочнике</w:t>
        </w:r>
      </w:hyperlink>
      <w:r>
        <w:rPr>
          <w:rFonts w:ascii="Arial" w:hAnsi="Arial" w:cs="Arial"/>
          <w:sz w:val="20"/>
          <w:szCs w:val="20"/>
        </w:rP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финансовым условиям реализации программы бакалавриата.</w:t>
      </w:r>
    </w:p>
    <w:p w:rsidR="000976B4" w:rsidRDefault="000976B4" w:rsidP="000976B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3"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autoSpaceDE w:val="0"/>
        <w:autoSpaceDN w:val="0"/>
        <w:adjustRightInd w:val="0"/>
        <w:spacing w:after="0" w:line="240" w:lineRule="auto"/>
        <w:jc w:val="both"/>
        <w:rPr>
          <w:rFonts w:ascii="Arial" w:hAnsi="Arial" w:cs="Arial"/>
          <w:sz w:val="20"/>
          <w:szCs w:val="20"/>
        </w:rPr>
      </w:pPr>
    </w:p>
    <w:p w:rsidR="000976B4" w:rsidRDefault="000976B4" w:rsidP="000976B4">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0976B4">
      <w:bookmarkStart w:id="6" w:name="_GoBack"/>
      <w:bookmarkEnd w:id="6"/>
    </w:p>
    <w:sectPr w:rsidR="00363C1B" w:rsidSect="00643EC0">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E8"/>
    <w:rsid w:val="000976B4"/>
    <w:rsid w:val="000A1D57"/>
    <w:rsid w:val="002F3ACB"/>
    <w:rsid w:val="00E82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430046A20C96604143898E330325B3BBA9AFC91345BC9D3FC9EC77524EEF316676217D1FE9FCAE7C04B7AC4233E0EF5CC9ABF89A9AE248s3X7H" TargetMode="External"/><Relationship Id="rId13" Type="http://schemas.openxmlformats.org/officeDocument/2006/relationships/hyperlink" Target="consultantplus://offline/ref=B0430046A20C96604143898E330325B3BBA8AFC11340BC9D3FC9EC77524EEF316676217D1FE9FDAA7D04B7AC4233E0EF5CC9ABF89A9AE248s3X7H" TargetMode="External"/><Relationship Id="rId3" Type="http://schemas.openxmlformats.org/officeDocument/2006/relationships/settings" Target="settings.xml"/><Relationship Id="rId7" Type="http://schemas.openxmlformats.org/officeDocument/2006/relationships/hyperlink" Target="consultantplus://offline/ref=B0430046A20C96604143898E330325B3BBA1A0CB1141BC9D3FC9EC77524EEF31747679711EEEE3AA7A11E1FD07s6XEH" TargetMode="External"/><Relationship Id="rId12" Type="http://schemas.openxmlformats.org/officeDocument/2006/relationships/hyperlink" Target="consultantplus://offline/ref=B0430046A20C96604143898E330325B3BBA1A4CC1342BC9D3FC9EC77524EEF316676217D1FE9FDAB7304B7AC4233E0EF5CC9ABF89A9AE248s3X7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0430046A20C96604143898E330325B3B8A8A1CE134CBC9D3FC9EC77524EEF316676217D1FE9FDAF7804B7AC4233E0EF5CC9ABF89A9AE248s3X7H" TargetMode="External"/><Relationship Id="rId11" Type="http://schemas.openxmlformats.org/officeDocument/2006/relationships/hyperlink" Target="consultantplus://offline/ref=B0430046A20C96604143898E330325B3B8A8A0C1174DBC9D3FC9EC77524EEF31747679711EEEE3AA7A11E1FD07s6XEH"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B0430046A20C96604143898E330325B3B9A0A4C11541BC9D3FC9EC77524EEF31747679711EEEE3AA7A11E1FD07s6XEH" TargetMode="External"/><Relationship Id="rId4" Type="http://schemas.openxmlformats.org/officeDocument/2006/relationships/webSettings" Target="webSettings.xml"/><Relationship Id="rId9" Type="http://schemas.openxmlformats.org/officeDocument/2006/relationships/hyperlink" Target="consultantplus://offline/ref=B0430046A20C96604143898E330325B3B8A9A3CF1A44BC9D3FC9EC77524EEF316676217D1FEBFEA27A04B7AC4233E0EF5CC9ABF89A9AE248s3X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5172</Words>
  <Characters>29482</Characters>
  <Application>Microsoft Office Word</Application>
  <DocSecurity>0</DocSecurity>
  <Lines>245</Lines>
  <Paragraphs>69</Paragraphs>
  <ScaleCrop>false</ScaleCrop>
  <Company/>
  <LinksUpToDate>false</LinksUpToDate>
  <CharactersWithSpaces>34585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2018-10-17T07:24:00Z</dcterms:created>
  <dcterms:modified xsi:type="dcterms:W3CDTF">2018-10-17T07:24:00Z</dcterms:modified>
</cp:coreProperties>
</file>