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7 сентября 2020 г. N 59673</w:t>
      </w:r>
    </w:p>
    <w:p w:rsidR="00A55532" w:rsidRDefault="00A55532" w:rsidP="00A5553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13 августа 2020 г. N 1011</w:t>
      </w: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40.03.01 ЮРИСПРУДЕНЦИЯ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5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40.03.01 Юриспруденция (далее - стандарт).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40.03.01 Юриспруденция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 декабря 2016 г. N 1511 (зарегистрирован Министерством юстиции Российской Федерации 29 декабря 2016 г., регистрационный N 45038), с изменениями, внесенными приказами Министерства образования и науки Российской Федерации от 13 июля 2017</w:t>
      </w:r>
      <w:proofErr w:type="gramEnd"/>
      <w:r>
        <w:rPr>
          <w:rFonts w:ascii="Arial" w:hAnsi="Arial" w:cs="Arial"/>
          <w:sz w:val="20"/>
          <w:szCs w:val="20"/>
        </w:rPr>
        <w:t xml:space="preserve"> г. N 653 (зарегистрирован Министерством юстиции Российской Федерации 7 августа 2017 г., регистрационный N 47703) и от 11 января 2018 г. N 28 (зарегистрирован Министерством юстиции Российской Федерации 1 февраля 2018 г., регистрационный N 49867), прекращается 31 декабря 2020 года.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13 августа 2020 г. N 1011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" w:name="Par37"/>
      <w:bookmarkEnd w:id="1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40.03.01 ЮРИСПРУДЕНЦИЯ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5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40.03.01 Юриспруденция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&lt;1&gt; формах.</w:t>
      </w:r>
      <w:proofErr w:type="gramEnd"/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proofErr w:type="gramStart"/>
      <w:r>
        <w:rPr>
          <w:rFonts w:ascii="Arial" w:hAnsi="Arial" w:cs="Arial"/>
          <w:sz w:val="20"/>
          <w:szCs w:val="20"/>
        </w:rPr>
        <w:t>Обучение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в заочной форме лиц, имеющих среднее профессиональное образование по специальности, входящей в укрупненную группу специальностей среднего профессионального образования 40.00.00 Юриспруденция или при получении лицами второго или последующего высшего образования.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&lt;2&gt;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0"/>
      <w:bookmarkEnd w:id="2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4"/>
      <w:bookmarkEnd w:id="3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9"/>
      <w:bookmarkEnd w:id="4"/>
      <w:r>
        <w:rPr>
          <w:rFonts w:ascii="Arial" w:hAnsi="Arial" w:cs="Arial"/>
          <w:sz w:val="20"/>
          <w:szCs w:val="20"/>
        </w:rPr>
        <w:t xml:space="preserve">1.11. Область профессиональной деятельности &lt;3&gt;, в которой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09</w:t>
        </w:r>
      </w:hyperlink>
      <w:r>
        <w:rPr>
          <w:rFonts w:ascii="Arial" w:hAnsi="Arial" w:cs="Arial"/>
          <w:sz w:val="20"/>
          <w:szCs w:val="20"/>
        </w:rPr>
        <w:t xml:space="preserve"> Юриспруденция (в сферах: разработки и реализации правовых норм; обеспечения законности и правопорядка; оказания правовой помощи физическим и юридическим лицам).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75"/>
      <w:bookmarkEnd w:id="5"/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нормотворческий;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правоприменительный;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правоохранительный;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экспертно-консультационный.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подготовки,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область профессиональной деятельности и сфера (сферы) профессиональной деятельности выпускников;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535"/>
        <w:gridCol w:w="3572"/>
      </w:tblGrid>
      <w:tr w:rsidR="00A55532"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553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6" w:name="Par99"/>
            <w:bookmarkEnd w:id="6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200</w:t>
            </w:r>
          </w:p>
        </w:tc>
      </w:tr>
      <w:tr w:rsidR="00A5553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7" w:name="Par102"/>
            <w:bookmarkEnd w:id="7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15</w:t>
            </w:r>
          </w:p>
        </w:tc>
      </w:tr>
      <w:tr w:rsidR="00A55532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8" w:name="Par105"/>
            <w:bookmarkEnd w:id="8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A55532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A55532"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12"/>
      <w:bookmarkEnd w:id="9"/>
      <w:r>
        <w:rPr>
          <w:rFonts w:ascii="Arial" w:hAnsi="Arial" w:cs="Arial"/>
          <w:sz w:val="20"/>
          <w:szCs w:val="20"/>
        </w:rPr>
        <w:t xml:space="preserve">2.2. </w:t>
      </w:r>
      <w:proofErr w:type="gramStart"/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государства и права России, истории государства и права зарубежных стран, иностранному языку, иностранному языку в сфере юриспруденции, безопасности жизнедеятельности, теории государства и права, конституционному праву, административному праву, гражданскому праву, гражданскому процессу, арбитражному процессу, трудовому праву, уголовному праву, уголовному процессу, экологическому праву, земельному праву, финансовому праву, налоговому праву, предпринимательскому праву, международному</w:t>
      </w:r>
      <w:proofErr w:type="gramEnd"/>
      <w:r>
        <w:rPr>
          <w:rFonts w:ascii="Arial" w:hAnsi="Arial" w:cs="Arial"/>
          <w:sz w:val="20"/>
          <w:szCs w:val="20"/>
        </w:rPr>
        <w:t xml:space="preserve"> праву, международному частному праву, криминалистике, криминологии, </w:t>
      </w:r>
      <w:proofErr w:type="gramStart"/>
      <w:r>
        <w:rPr>
          <w:rFonts w:ascii="Arial" w:hAnsi="Arial" w:cs="Arial"/>
          <w:sz w:val="20"/>
          <w:szCs w:val="20"/>
        </w:rPr>
        <w:t>праву социального обеспечения</w:t>
      </w:r>
      <w:proofErr w:type="gramEnd"/>
      <w:r>
        <w:rPr>
          <w:rFonts w:ascii="Arial" w:hAnsi="Arial" w:cs="Arial"/>
          <w:sz w:val="20"/>
          <w:szCs w:val="20"/>
        </w:rPr>
        <w:t xml:space="preserve">, семейному праву, информационным технологиям в юридической деятельности в рамках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117"/>
      <w:bookmarkEnd w:id="10"/>
      <w:r>
        <w:rPr>
          <w:rFonts w:ascii="Arial" w:hAnsi="Arial" w:cs="Arial"/>
          <w:sz w:val="20"/>
          <w:szCs w:val="20"/>
        </w:rPr>
        <w:t xml:space="preserve">2.4. В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правоприменительная практика.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правоприменительная практика;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практика;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17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17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выполнение, подготовка к процедуре защиты и защита выпускной квалификационной работы (если Организация включила защиту выпускной квалификационной работы в состав государственной итоговой аттестации).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2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дисциплины (модули) по физической культуре и спорту, реализуемые в рамках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60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55532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A55532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Инклюзивная компетентность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общепрофессиональной компетенции выпускника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анализ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анализировать основные закономерности формирования, функционирования и развития права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юридических проблем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ОПК-2.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нормы материального и процессуального права при решении задач профессиональной деятельности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Юридическая экспертиза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участвовать в экспертной юридической деятельности в рамках поставленной задачи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Толкование права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профессионально толковать нормы права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Юридическая аргументация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Юридическое письмо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участвовать в подготовке проектов нормативных правовых актов и иных юридических документов</w:t>
            </w:r>
          </w:p>
        </w:tc>
      </w:tr>
      <w:tr w:rsidR="00A5553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Профессиональная этика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ОПК-7. Способен соблюдать принципы этики юриста, в том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числе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части антикоррупционных стандартов поведения</w:t>
            </w:r>
          </w:p>
        </w:tc>
      </w:tr>
      <w:tr w:rsidR="00A55532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</w:tr>
      <w:tr w:rsidR="00A55532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A55532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2" w:rsidRDefault="00A5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</w:tbl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</w:t>
      </w:r>
      <w:r>
        <w:rPr>
          <w:rFonts w:ascii="Arial" w:hAnsi="Arial" w:cs="Arial"/>
          <w:sz w:val="20"/>
          <w:szCs w:val="20"/>
        </w:rPr>
        <w:lastRenderedPageBreak/>
        <w:t>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&lt;4&gt;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&lt;5&gt;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</w:t>
      </w:r>
      <w:proofErr w:type="gramStart"/>
      <w:r>
        <w:rPr>
          <w:rFonts w:ascii="Arial" w:hAnsi="Arial" w:cs="Arial"/>
          <w:sz w:val="20"/>
          <w:szCs w:val="20"/>
        </w:rPr>
        <w:t xml:space="preserve">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деятельности, установленных в соответствии с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  <w:proofErr w:type="gramEnd"/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</w:t>
      </w:r>
      <w:r>
        <w:rPr>
          <w:rFonts w:ascii="Arial" w:hAnsi="Arial" w:cs="Arial"/>
          <w:sz w:val="20"/>
          <w:szCs w:val="20"/>
        </w:rPr>
        <w:lastRenderedPageBreak/>
        <w:t xml:space="preserve">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&lt;6&gt; Федеральный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Минимальный перечень материально-технического обеспечения, необходимого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правовым системам, состав которых определяется в рабочих программах дисциплин (модулей) и подлежит обновлению (при необходимости).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&lt;7&gt;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32" w:rsidRDefault="00A55532" w:rsidP="00A555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55532" w:rsidRDefault="00A55532" w:rsidP="00A555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A55532" w:rsidRDefault="00A55532" w:rsidP="00A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940" w:rsidRPr="00A55532" w:rsidRDefault="00A55532" w:rsidP="00A55532"/>
    <w:sectPr w:rsidR="002A5940" w:rsidRPr="00A55532" w:rsidSect="00C03A2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B8"/>
    <w:rsid w:val="000841B8"/>
    <w:rsid w:val="00671E61"/>
    <w:rsid w:val="00866DC1"/>
    <w:rsid w:val="00A5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FDD71B39276CA38D316EF31306B118AFB9BFCB5D1282DFD41C84085DBAE4CDE08F1386A0BE525BA19BC27B222D61636734D13F33446D6E1k4L" TargetMode="External"/><Relationship Id="rId13" Type="http://schemas.openxmlformats.org/officeDocument/2006/relationships/hyperlink" Target="consultantplus://offline/ref=E96FDD71B39276CA38D316EF31306B118BFB97FBB3DC282DFD41C84085DBAE4CDE08F1386A08E12DBD19BC27B222D61636734D13F33446D6E1k4L" TargetMode="External"/><Relationship Id="rId18" Type="http://schemas.openxmlformats.org/officeDocument/2006/relationships/hyperlink" Target="consultantplus://offline/ref=E96FDD71B39276CA38D316EF31306B118BFB9BFABDD6282DFD41C84085DBAE4CCC08A9346A02FB24B70CEA76F4E7k6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96FDD71B39276CA38D316EF31306B118BF190FDB4D3282DFD41C84085DBAE4CDE08F1386A0BE523BD19BC27B222D61636734D13F33446D6E1k4L" TargetMode="External"/><Relationship Id="rId12" Type="http://schemas.openxmlformats.org/officeDocument/2006/relationships/hyperlink" Target="consultantplus://offline/ref=E96FDD71B39276CA38D316EF31306B118AF296FCB6D5282DFD41C84085DBAE4CDE08F1386A0BE522B919BC27B222D61636734D13F33446D6E1k4L" TargetMode="External"/><Relationship Id="rId17" Type="http://schemas.openxmlformats.org/officeDocument/2006/relationships/hyperlink" Target="consultantplus://offline/ref=E96FDD71B39276CA38D316EF31306B118BFB9BFDB2DD282DFD41C84085DBAE4CCC08A9346A02FB24B70CEA76F4E7k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6FDD71B39276CA38D316EF31306B1189F794F2B3D5282DFD41C84085DBAE4CCC08A9346A02FB24B70CEA76F4E7k6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FDD71B39276CA38D316EF31306B118BFB90FEBDD6282DFD41C84085DBAE4CDE08F1386A0BE521B619BC27B222D61636734D13F33446D6E1k4L" TargetMode="External"/><Relationship Id="rId11" Type="http://schemas.openxmlformats.org/officeDocument/2006/relationships/hyperlink" Target="consultantplus://offline/ref=E96FDD71B39276CA38D316EF31306B118AF296FCB6D5282DFD41C84085DBAE4CDE08F1386A0BE520B819BC27B222D61636734D13F33446D6E1k4L" TargetMode="External"/><Relationship Id="rId5" Type="http://schemas.openxmlformats.org/officeDocument/2006/relationships/hyperlink" Target="consultantplus://offline/ref=E96FDD71B39276CA38D316EF31306B118BFB97FBB3DC282DFD41C84085DBAE4CDE08F1386A08E12DBE19BC27B222D61636734D13F33446D6E1k4L" TargetMode="External"/><Relationship Id="rId15" Type="http://schemas.openxmlformats.org/officeDocument/2006/relationships/hyperlink" Target="consultantplus://offline/ref=E96FDD71B39276CA38D316EF31306B118AF296FCB6D5282DFD41C84085DBAE4CDE08F1386A0BE524B919BC27B222D61636734D13F33446D6E1k4L" TargetMode="External"/><Relationship Id="rId10" Type="http://schemas.openxmlformats.org/officeDocument/2006/relationships/hyperlink" Target="consultantplus://offline/ref=E96FDD71B39276CA38D316EF31306B118BFB9BFAB3D1282DFD41C84085DBAE4CDE08F1386A0BE720B619BC27B222D61636734D13F33446D6E1k4L" TargetMode="External"/><Relationship Id="rId19" Type="http://schemas.openxmlformats.org/officeDocument/2006/relationships/hyperlink" Target="consultantplus://offline/ref=E96FDD71B39276CA38D316EF31306B118BFB97FEB3D1282DFD41C84085DBAE4CDE08F1386A0BEC20B819BC27B222D61636734D13F33446D6E1k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6FDD71B39276CA38D316EF31306B118BFB97FBB3DC282DFD41C84085DBAE4CDE08F1386A08E12DBE19BC27B222D61636734D13F33446D6E1k4L" TargetMode="External"/><Relationship Id="rId14" Type="http://schemas.openxmlformats.org/officeDocument/2006/relationships/hyperlink" Target="consultantplus://offline/ref=E96FDD71B39276CA38D316EF31306B118BFB97FBB3DC282DFD41C84085DBAE4CDE08F1386A08E024BA19BC27B222D61636734D13F33446D6E1k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5108</Words>
  <Characters>29118</Characters>
  <Application>Microsoft Office Word</Application>
  <DocSecurity>0</DocSecurity>
  <Lines>242</Lines>
  <Paragraphs>68</Paragraphs>
  <ScaleCrop>false</ScaleCrop>
  <Company/>
  <LinksUpToDate>false</LinksUpToDate>
  <CharactersWithSpaces>34158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2021-08-09T11:35:00Z</dcterms:created>
  <dcterms:modified xsi:type="dcterms:W3CDTF">2021-08-09T11:36:00Z</dcterms:modified>
</cp:coreProperties>
</file>