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155" w:rsidRDefault="00DB7155" w:rsidP="00DB7155">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DB7155" w:rsidRDefault="00DB7155" w:rsidP="00DB7155">
      <w:pPr>
        <w:autoSpaceDE w:val="0"/>
        <w:autoSpaceDN w:val="0"/>
        <w:adjustRightInd w:val="0"/>
        <w:spacing w:after="0" w:line="240" w:lineRule="auto"/>
        <w:jc w:val="both"/>
        <w:outlineLvl w:val="0"/>
        <w:rPr>
          <w:rFonts w:ascii="Arial" w:hAnsi="Arial" w:cs="Arial"/>
          <w:sz w:val="20"/>
          <w:szCs w:val="20"/>
        </w:rPr>
      </w:pPr>
    </w:p>
    <w:p w:rsidR="00DB7155" w:rsidRDefault="00DB7155" w:rsidP="00DB7155">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9 декабря 2016 г. N 44647</w:t>
      </w:r>
    </w:p>
    <w:p w:rsidR="00DB7155" w:rsidRDefault="00DB7155" w:rsidP="00DB7155">
      <w:pPr>
        <w:pBdr>
          <w:top w:val="single" w:sz="6" w:space="0" w:color="auto"/>
        </w:pBdr>
        <w:autoSpaceDE w:val="0"/>
        <w:autoSpaceDN w:val="0"/>
        <w:adjustRightInd w:val="0"/>
        <w:spacing w:before="100" w:after="100" w:line="240" w:lineRule="auto"/>
        <w:jc w:val="both"/>
        <w:rPr>
          <w:rFonts w:ascii="Arial" w:hAnsi="Arial" w:cs="Arial"/>
          <w:sz w:val="2"/>
          <w:szCs w:val="2"/>
        </w:rPr>
      </w:pP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16 ноября 2016 г. N 1425</w:t>
      </w: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17.03.01</w:t>
      </w: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КОРАБЕЛЬНОЕ ВООРУЖЕНИЕ (УРОВЕНЬ БАКАЛАВРИАТА)</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и </w:t>
      </w:r>
      <w:hyperlink r:id="rId6"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приказываю:</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5"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17.03.01 Корабельное вооружение (уровень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hyperlink r:id="rId7"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22 декабря 2009 г. N 809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180800 Корабельное вооружение (квалификация (степень) "бакалавр")" (зарегистрирован Министерством юстиции Российской Федерации 8 февраля 2010 г., регистрационный N 16301);</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пункт 32</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hyperlink r:id="rId9" w:history="1">
        <w:r>
          <w:rPr>
            <w:rFonts w:ascii="Arial" w:hAnsi="Arial" w:cs="Arial"/>
            <w:color w:val="0000FF"/>
            <w:sz w:val="20"/>
            <w:szCs w:val="20"/>
          </w:rPr>
          <w:t>пункт 117</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DB7155" w:rsidRDefault="00DB7155" w:rsidP="00DB71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О.Ю.ВАСИЛЬЕВА</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DB7155" w:rsidRDefault="00DB7155" w:rsidP="00DB71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DB7155" w:rsidRDefault="00DB7155" w:rsidP="00DB71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DB7155" w:rsidRDefault="00DB7155" w:rsidP="00DB71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16 ноября 2016 г. N 1425</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5"/>
      <w:bookmarkEnd w:id="0"/>
      <w:r>
        <w:rPr>
          <w:rFonts w:ascii="Arial" w:eastAsiaTheme="minorHAnsi" w:hAnsi="Arial" w:cs="Arial"/>
          <w:color w:val="auto"/>
          <w:sz w:val="20"/>
          <w:szCs w:val="20"/>
        </w:rPr>
        <w:t>ФЕДЕРАЛЬНЫЙ ГОСУДАРСТВЕННЫЙ ОБРАЗОВАТЕЛЬНЫЙ СТАНДАРТ</w:t>
      </w: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НАПРАВЛЕНИЮ ПОДГОТОВКИ</w:t>
      </w: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17.03.01 КОРАБЕЛЬНОЕ ВООРУЖЕНИЕ</w:t>
      </w:r>
    </w:p>
    <w:p w:rsidR="00DB7155" w:rsidRDefault="00DB7155" w:rsidP="00DB715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БАКАЛАВРИАТА)</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17.03.01 Корабельное вооружение (далее соответственно - программа бакалавриата, направление подготовки).</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специалитета в организации осуществляется в очной, очно-заочной и заочной формах обучения.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ускоренного обучения.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форме обучения не может составлять более 75 з.е.;</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Конкретный срок получения образования и объем программы бакалавриата, реализуемый за один учебный год, в очно-заочной 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 реализации программы бакалавриата организация вправе применять электронное обучение, дистанционные образовательные технологии.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дистанционные образовательные технологии должны предусматривать возможность приема-передачи информации в доступных для них формах.</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бакалавриата возможна с использованием сетевой формы.</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DB7155" w:rsidRDefault="00DB7155" w:rsidP="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БАКАЛАВРИАТА</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бакалавриата, включает:</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разработку средств автоматического управления бортовых вычислительных комплексов систем навигации и телеуправления подводных аппаратов;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проектирование, изготовление, сборку, испытания и эксплуатацию энергетических комплексов подводных аппаратов;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разработку, испытания и эксплуатацию информационных систем обнаружения, самонаведения, целеуказания, неконтактного реагирования, средств приема и обработки гидрофизической информации и интеллектуальных систем для подводных аппаратов;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разработку, испытания и эксплуатацию средств гидроакустического вооружения кораблей и подводных лодок для обнаружения, целеуказания и классификации подводных и надводных целей;</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разработку средств для исследования Мирового океана;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техническое обслуживание, испытания и обеспечение безопасной эксплуатации образцов и комплексов морской техники специального назначения и технических средств корабельного вооружения на всех этапах их жизненного цикла, а также подводных аппаратов промышленного, экологического и научного назначения;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испытания и эксплуатацию средств защиты кораблей и морской техники по физическим полям;</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испытания и эксплуатацию корабельного вооружения;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создание, испытания и эксплуатацию корабельных пусковых установок.</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бакалавриата, являются: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гидрофизические комплексы защиты кораблей по физическим полям (комплексы акустической и гидролокационной защиты надводных кораблей, подводных лодок и самоходных подводных аппаратов, системы размагничивания кораблей, подводных лодок и судов);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приборы и комплексы навигационно-управляющих систем подводных аппаратов;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бортовые информационно-измерительные системы обнаружения, целеуказания, классификации, самонаведения и неконтактного реагирования подводных аппаратов;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гидроакустические комплексы кораблей и морской техники;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информационно-управляющие системы корабельного вооружения;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корабельное тральное вооружение (контактные и неконтактные тралы, управляемые глубоководные тралы, имитаторы физических (акустического и магнитного) полей кораблей);</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подводные стационарные комплексы военного и промышленного назначения;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подводные самоходные необитаемые аппараты военного и промышленного назначения (подводные аппараты-роботы), подводные транспортные средства для боевых пловцов, средства гидроакустического подавления;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противолодочное корабельное вооружение;</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корабельные пусковые установки.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проектно-конструкторская;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эксплуатационная.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и реализации программ бакалавриата организация ориентируется на конкретный вид (виды) профессиональной деятельности, к которому (которым) готовится выпускник, исходя из потребностей рынка труда, научно-исследовательских и материально-технических ресурсов организации.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бакалавриата формируется организацией в зависимости от видов учебной деятельности и требований к результатам освоения указанной программы:</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разработке планов и программ проведения отдельных этапов работ, сборе, обработке, анализе и систематизации научно-технической информации по теме исследований;</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выполнении экспериментов по заданной методике, составлении их описаний и анализе результатов;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во внедрении результатов исследований и разработок;</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проектно-конструкторская деятельность:</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проектировании и расчете образцов морской техники специального назначения и корабельного вооружения, а также информационных, автоматических и вычислительных подсистем в соответствии с техническим заданием, с использованием стандартных средств автоматизации проектирования;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патентного и библиографического поиска по направлению проектной деятельности;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участие в разработке проектной и рабочей документации, оформлении законченных проектно-конструкторских работ;</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 соответствия разрабатываемых проектов и технической документации стандартам, техническим условиям и другим нормативным документам;</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проведении предварительного технико-экономического обоснования проектных расчетов;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составлении технической документации (графиков работ, инструкций, планов, смет, заявок на материалы, оборудований), а также установленной отчетности по утвержденным формам;</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работах по стандартизации и подготовке к сертификации технических средств, систем, процессов, оборудования и материалов;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работы малых производственных коллективов;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планирование работы персонала и фондов оплаты труда;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оперативных и краткосрочных планов работы первичных производственных коллективов;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 деятельность:</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разработке технологических процессов производства, испытаний и эксплуатации подводных аппаратов, корабельного вооружения и их подсистем;</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организации рабочих мест, их техническом оснащении, размещении технологического оборудования;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 за соблюдением технологической дисциплины;</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обслуживании технологического оборудования;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монтаже, наладке, испытаниях и сдаче в эксплуатацию опытных образцов изделий, узлов, систем и деталей новых и модернизированных объектов морской техники;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эксплуатационная деятельность:</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техническом обслуживании образцов подводных аппаратов, корабельного вооружения и морской техники;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проверке технического состояния образцов подводных аппаратов, корабельного вооружения и их подсистем, организация профилактических осмотров и текущего ремонта;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составлении заявок на оборудование и запасные части, подготовке технической документации на ремонт;</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составлении программ испытаний;</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составлении инструкций по эксплуатации оборудования.</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БАКАЛАВРИАТА</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бакалавриата, должен обладать следующими общекультурными компетенциями: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философских знаний для формирования мировоззренческой позиции (ОК-1);</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способностью анализировать основные этапы и закономерности исторического развития общества для формирования гражданской позиции (ОК-2);</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экономических знаний в различных сферах жизнедеятельности (ОК-3);</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правовых знаний в различных сферах жизнедеятельности (ОК-4);</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работать в команде, толерантно воспринимая социальные и культурные различия (ОК-6);</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самоорганизации и самообразованию (ОК-7);</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приемы оказания первой помощи, методы защиты в условиях чрезвычайных ситуаций (ОК-9).</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бакалавриата, должен обладать следующими общепрофессиональными компетенциями: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 (ОПК-1);</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участвовать в разработке средств морской оборонной техники (ОПК-2);</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участвовать в разработке технической, конструкторской и технологической документации по направлению профессиональной деятельности (ОПК-3);</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информационные технологии при разработке проектов новых образцов морской оборонной техники (ОПК-4).</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участвовать в экспериментальных исследованиях по определению тактических, технических и эксплуатационных характеристик морского подводного оружия, корабельного вооружения и морской техники, включая использование готовых методик, технических средств и оборудования, а также обработку полученных результатов (ПК-1);</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применять методы организации и проведения диагностирования, исследования и испытаний морской техники современными техническими средствами (ПК-2);</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изучать научно-техническую информацию, отечественный и зарубежный опыт по тематике исследования (ПК-3);</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участвовать в научных исследованиях основных объектов, связанных с конкретной областью специальной подготовки (ПК-4);</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проектно-конструкторская деятельность:</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участвовать в разработке образцов корабельного вооружения с учетом технико-эксплуатационных, эргономических, технологических, экономических и экологических требований (ПК-5);</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готовностью использовать информационные технологии при разработке проектов новых образцов корабельного вооружения (ПК-6);</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применять методы обеспечения технологичности и ремонтопригодности корабельного вооружения, унификации и стандартизации (ПК-7);</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технологический процесс как объект управления (ПК-8);</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организовывать работу исполнителей, находить и принимать управленческие решения в области организации и нормирования труда (ПК-9);</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систематизировать и обобщать информацию по использованию и формированию ресурсов предприятия (ПК-10);</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кооперации с коллегами и работе в коллективе, к организации работы малых коллективов исполнителей (ПК-11);</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 деятельность:</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участвовать в технологической проработке морской оборонной техники (ПК-12);</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обосновывать принятые технические решения по разработке технологических процессов, выбирать технические средства и технологии с учетом экологических последствий их применения (ПК-13);</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самостоятельно работать на универсальном и специальном оборудовании (ПК-14);</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нормативные документы по качеству, стандартизации и сертификации объектов морской техники, элементы экономического анализа в практической деятельности (ПК-15);</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правила техники безопасности, производственной санитарии, пожарной безопасности и нормы охраны труда, измерять и оценивать параметры производственного микроклимата, уровня запыленности и загазованности, шума и вибрации, освещенности рабочих мест (ПК-16);</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эксплуатационная деятельность:</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участвовать в разработке технологических процессов эксплуатационного, технического обслуживания и ремонта морского подводного оружия и морской техники (ПК-17);</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определять техническое состояние и остаточный ресурс морской техники (ПК-18).</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БАКАЛАВРИАТА</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бакалавриата состоит из следующих блоков: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hyperlink w:anchor="Par198" w:history="1">
        <w:r>
          <w:rPr>
            <w:rFonts w:ascii="Arial" w:hAnsi="Arial" w:cs="Arial"/>
            <w:color w:val="0000FF"/>
            <w:sz w:val="20"/>
            <w:szCs w:val="20"/>
          </w:rPr>
          <w:t>Блок 1</w:t>
        </w:r>
      </w:hyperlink>
      <w:r>
        <w:rPr>
          <w:rFonts w:ascii="Arial" w:hAnsi="Arial" w:cs="Arial"/>
          <w:sz w:val="20"/>
          <w:szCs w:val="20"/>
        </w:rP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hyperlink w:anchor="Par209" w:history="1">
        <w:r>
          <w:rPr>
            <w:rFonts w:ascii="Arial" w:hAnsi="Arial" w:cs="Arial"/>
            <w:color w:val="0000FF"/>
            <w:sz w:val="20"/>
            <w:szCs w:val="20"/>
          </w:rPr>
          <w:t>Блок 2</w:t>
        </w:r>
      </w:hyperlink>
      <w:r>
        <w:rPr>
          <w:rFonts w:ascii="Arial" w:hAnsi="Arial" w:cs="Arial"/>
          <w:sz w:val="20"/>
          <w:szCs w:val="20"/>
        </w:rPr>
        <w:t xml:space="preserve"> "Практики", который в полном объеме относится к вариативной части программы;</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hyperlink w:anchor="Par216"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w:t>
      </w:r>
      <w:hyperlink r:id="rId10" w:history="1">
        <w:r>
          <w:rPr>
            <w:rFonts w:ascii="Arial" w:hAnsi="Arial" w:cs="Arial"/>
            <w:color w:val="0000FF"/>
            <w:sz w:val="20"/>
            <w:szCs w:val="20"/>
          </w:rPr>
          <w:t>перечне</w:t>
        </w:r>
      </w:hyperlink>
      <w:r>
        <w:rPr>
          <w:rFonts w:ascii="Arial" w:hAnsi="Arial" w:cs="Arial"/>
          <w:sz w:val="20"/>
          <w:szCs w:val="20"/>
        </w:rPr>
        <w:t xml:space="preserve"> направлений подготовки высшего образования, утвержденном Министерством образования и науки Российской Федерации &lt;1&gt;.</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1" w:history="1">
        <w:r>
          <w:rPr>
            <w:rFonts w:ascii="Arial" w:hAnsi="Arial" w:cs="Arial"/>
            <w:color w:val="0000FF"/>
            <w:sz w:val="20"/>
            <w:szCs w:val="20"/>
          </w:rPr>
          <w:t>Перечень</w:t>
        </w:r>
      </w:hyperlink>
      <w:r>
        <w:rPr>
          <w:rFonts w:ascii="Arial" w:hAnsi="Arial" w:cs="Arial"/>
          <w:sz w:val="20"/>
          <w:szCs w:val="20"/>
        </w:rP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бакалавриата</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DB7155" w:rsidRDefault="00DB7155" w:rsidP="00DB7155">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16"/>
        <w:gridCol w:w="4284"/>
        <w:gridCol w:w="1943"/>
        <w:gridCol w:w="1943"/>
      </w:tblGrid>
      <w:tr w:rsidR="00DB7155">
        <w:tc>
          <w:tcPr>
            <w:tcW w:w="5200" w:type="dxa"/>
            <w:gridSpan w:val="2"/>
            <w:vMerge w:val="restart"/>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Структура программы бакалавриата</w:t>
            </w:r>
          </w:p>
        </w:tc>
        <w:tc>
          <w:tcPr>
            <w:tcW w:w="3886" w:type="dxa"/>
            <w:gridSpan w:val="2"/>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программы бакалавриата в з.е.</w:t>
            </w:r>
          </w:p>
        </w:tc>
      </w:tr>
      <w:tr w:rsidR="00DB7155">
        <w:tc>
          <w:tcPr>
            <w:tcW w:w="5200" w:type="dxa"/>
            <w:gridSpan w:val="2"/>
            <w:vMerge/>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both"/>
              <w:rPr>
                <w:rFonts w:ascii="Arial" w:hAnsi="Arial" w:cs="Arial"/>
                <w:sz w:val="20"/>
                <w:szCs w:val="20"/>
              </w:rPr>
            </w:pP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академического бакалавриата</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прикладного бакалавриата</w:t>
            </w:r>
          </w:p>
        </w:tc>
      </w:tr>
      <w:tr w:rsidR="00DB7155">
        <w:tc>
          <w:tcPr>
            <w:tcW w:w="916"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rPr>
                <w:rFonts w:ascii="Arial" w:hAnsi="Arial" w:cs="Arial"/>
                <w:sz w:val="20"/>
                <w:szCs w:val="20"/>
              </w:rPr>
            </w:pPr>
            <w:bookmarkStart w:id="1" w:name="Par198"/>
            <w:bookmarkEnd w:id="1"/>
            <w:r>
              <w:rPr>
                <w:rFonts w:ascii="Arial" w:hAnsi="Arial" w:cs="Arial"/>
                <w:sz w:val="20"/>
                <w:szCs w:val="20"/>
              </w:rPr>
              <w:t>Блок 1</w:t>
            </w:r>
          </w:p>
        </w:tc>
        <w:tc>
          <w:tcPr>
            <w:tcW w:w="4284"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210 - 213</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198 - 204</w:t>
            </w:r>
          </w:p>
        </w:tc>
      </w:tr>
      <w:tr w:rsidR="00DB7155">
        <w:tc>
          <w:tcPr>
            <w:tcW w:w="916" w:type="dxa"/>
            <w:vMerge w:val="restart"/>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rPr>
                <w:rFonts w:ascii="Arial" w:hAnsi="Arial" w:cs="Arial"/>
                <w:sz w:val="20"/>
                <w:szCs w:val="20"/>
              </w:rPr>
            </w:pPr>
          </w:p>
        </w:tc>
        <w:tc>
          <w:tcPr>
            <w:tcW w:w="4284"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rPr>
                <w:rFonts w:ascii="Arial" w:hAnsi="Arial" w:cs="Arial"/>
                <w:sz w:val="20"/>
                <w:szCs w:val="20"/>
              </w:rPr>
            </w:pPr>
            <w:bookmarkStart w:id="2" w:name="Par203"/>
            <w:bookmarkEnd w:id="2"/>
            <w:r>
              <w:rPr>
                <w:rFonts w:ascii="Arial" w:hAnsi="Arial" w:cs="Arial"/>
                <w:sz w:val="20"/>
                <w:szCs w:val="20"/>
              </w:rPr>
              <w:t>Базовая часть</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105 - 129</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93 - 120</w:t>
            </w:r>
          </w:p>
        </w:tc>
      </w:tr>
      <w:tr w:rsidR="00DB7155">
        <w:tc>
          <w:tcPr>
            <w:tcW w:w="916" w:type="dxa"/>
            <w:vMerge/>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both"/>
              <w:rPr>
                <w:rFonts w:ascii="Arial" w:hAnsi="Arial" w:cs="Arial"/>
                <w:sz w:val="20"/>
                <w:szCs w:val="20"/>
              </w:rPr>
            </w:pPr>
          </w:p>
        </w:tc>
        <w:tc>
          <w:tcPr>
            <w:tcW w:w="4284"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rPr>
                <w:rFonts w:ascii="Arial" w:hAnsi="Arial" w:cs="Arial"/>
                <w:sz w:val="20"/>
                <w:szCs w:val="20"/>
              </w:rPr>
            </w:pPr>
            <w:bookmarkStart w:id="3" w:name="Par206"/>
            <w:bookmarkEnd w:id="3"/>
            <w:r>
              <w:rPr>
                <w:rFonts w:ascii="Arial" w:hAnsi="Arial" w:cs="Arial"/>
                <w:sz w:val="20"/>
                <w:szCs w:val="20"/>
              </w:rPr>
              <w:t>Вариативная часть</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84 - 105</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84 - 105</w:t>
            </w:r>
          </w:p>
        </w:tc>
      </w:tr>
      <w:tr w:rsidR="00DB7155">
        <w:tc>
          <w:tcPr>
            <w:tcW w:w="916" w:type="dxa"/>
            <w:vMerge w:val="restart"/>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rPr>
                <w:rFonts w:ascii="Arial" w:hAnsi="Arial" w:cs="Arial"/>
                <w:sz w:val="20"/>
                <w:szCs w:val="20"/>
              </w:rPr>
            </w:pPr>
            <w:bookmarkStart w:id="4" w:name="Par209"/>
            <w:bookmarkEnd w:id="4"/>
            <w:r>
              <w:rPr>
                <w:rFonts w:ascii="Arial" w:hAnsi="Arial" w:cs="Arial"/>
                <w:sz w:val="20"/>
                <w:szCs w:val="20"/>
              </w:rPr>
              <w:t>Блок 2</w:t>
            </w:r>
          </w:p>
        </w:tc>
        <w:tc>
          <w:tcPr>
            <w:tcW w:w="4284"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Практики</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18 - 24</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27 - 36</w:t>
            </w:r>
          </w:p>
        </w:tc>
      </w:tr>
      <w:tr w:rsidR="00DB7155">
        <w:tc>
          <w:tcPr>
            <w:tcW w:w="916" w:type="dxa"/>
            <w:vMerge/>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both"/>
              <w:rPr>
                <w:rFonts w:ascii="Arial" w:hAnsi="Arial" w:cs="Arial"/>
                <w:sz w:val="20"/>
                <w:szCs w:val="20"/>
              </w:rPr>
            </w:pPr>
          </w:p>
        </w:tc>
        <w:tc>
          <w:tcPr>
            <w:tcW w:w="4284"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18 - 24</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27 - 36</w:t>
            </w:r>
          </w:p>
        </w:tc>
      </w:tr>
      <w:tr w:rsidR="00DB7155">
        <w:tc>
          <w:tcPr>
            <w:tcW w:w="916" w:type="dxa"/>
            <w:vMerge w:val="restart"/>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rPr>
                <w:rFonts w:ascii="Arial" w:hAnsi="Arial" w:cs="Arial"/>
                <w:sz w:val="20"/>
                <w:szCs w:val="20"/>
              </w:rPr>
            </w:pPr>
            <w:bookmarkStart w:id="5" w:name="Par216"/>
            <w:bookmarkEnd w:id="5"/>
            <w:r>
              <w:rPr>
                <w:rFonts w:ascii="Arial" w:hAnsi="Arial" w:cs="Arial"/>
                <w:sz w:val="20"/>
                <w:szCs w:val="20"/>
              </w:rPr>
              <w:t>Блок 3</w:t>
            </w:r>
          </w:p>
        </w:tc>
        <w:tc>
          <w:tcPr>
            <w:tcW w:w="4284"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DB7155">
        <w:tc>
          <w:tcPr>
            <w:tcW w:w="916" w:type="dxa"/>
            <w:vMerge/>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both"/>
              <w:rPr>
                <w:rFonts w:ascii="Arial" w:hAnsi="Arial" w:cs="Arial"/>
                <w:sz w:val="20"/>
                <w:szCs w:val="20"/>
              </w:rPr>
            </w:pPr>
          </w:p>
        </w:tc>
        <w:tc>
          <w:tcPr>
            <w:tcW w:w="4284" w:type="dxa"/>
            <w:tcBorders>
              <w:top w:val="single" w:sz="4" w:space="0" w:color="auto"/>
              <w:left w:val="single" w:sz="4" w:space="0" w:color="auto"/>
              <w:bottom w:val="single" w:sz="4" w:space="0" w:color="auto"/>
              <w:right w:val="single" w:sz="4" w:space="0" w:color="auto"/>
            </w:tcBorders>
            <w:vAlign w:val="bottom"/>
          </w:tcPr>
          <w:p w:rsidR="00DB7155" w:rsidRDefault="00DB7155">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1943" w:type="dxa"/>
            <w:tcBorders>
              <w:top w:val="single" w:sz="4" w:space="0" w:color="auto"/>
              <w:left w:val="single" w:sz="4" w:space="0" w:color="auto"/>
              <w:bottom w:val="single" w:sz="4" w:space="0" w:color="auto"/>
              <w:right w:val="single" w:sz="4" w:space="0" w:color="auto"/>
            </w:tcBorders>
            <w:vAlign w:val="bottom"/>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1943" w:type="dxa"/>
            <w:tcBorders>
              <w:top w:val="single" w:sz="4" w:space="0" w:color="auto"/>
              <w:left w:val="single" w:sz="4" w:space="0" w:color="auto"/>
              <w:bottom w:val="single" w:sz="4" w:space="0" w:color="auto"/>
              <w:right w:val="single" w:sz="4" w:space="0" w:color="auto"/>
            </w:tcBorders>
            <w:vAlign w:val="bottom"/>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DB7155">
        <w:tc>
          <w:tcPr>
            <w:tcW w:w="5200" w:type="dxa"/>
            <w:gridSpan w:val="2"/>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Объем программы бакалавриата</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c>
          <w:tcPr>
            <w:tcW w:w="1943" w:type="dxa"/>
            <w:tcBorders>
              <w:top w:val="single" w:sz="4" w:space="0" w:color="auto"/>
              <w:left w:val="single" w:sz="4" w:space="0" w:color="auto"/>
              <w:bottom w:val="single" w:sz="4" w:space="0" w:color="auto"/>
              <w:right w:val="single" w:sz="4" w:space="0" w:color="auto"/>
            </w:tcBorders>
          </w:tcPr>
          <w:p w:rsidR="00DB7155" w:rsidRDefault="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ar203" w:history="1">
        <w:r>
          <w:rPr>
            <w:rFonts w:ascii="Arial" w:hAnsi="Arial" w:cs="Arial"/>
            <w:color w:val="0000FF"/>
            <w:sz w:val="20"/>
            <w:szCs w:val="20"/>
          </w:rPr>
          <w:t>Блока 1</w:t>
        </w:r>
      </w:hyperlink>
      <w:r>
        <w:rPr>
          <w:rFonts w:ascii="Arial" w:hAnsi="Arial" w:cs="Arial"/>
          <w:sz w:val="20"/>
          <w:szCs w:val="20"/>
        </w:rPr>
        <w:t xml:space="preserve"> программы бакалавриата. Объем, содержание и порядок реализации указанных дисциплин (модулей) определяются организацией самостоятельно.</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6.5. Дисциплины (модули) по физической культуре и спорту реализуются в рамках:</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базовой части </w:t>
      </w:r>
      <w:hyperlink w:anchor="Par203" w:history="1">
        <w:r>
          <w:rPr>
            <w:rFonts w:ascii="Arial" w:hAnsi="Arial" w:cs="Arial"/>
            <w:color w:val="0000FF"/>
            <w:sz w:val="20"/>
            <w:szCs w:val="20"/>
          </w:rPr>
          <w:t>Блока 1</w:t>
        </w:r>
      </w:hyperlink>
      <w:r>
        <w:rPr>
          <w:rFonts w:ascii="Arial" w:hAnsi="Arial" w:cs="Arial"/>
          <w:sz w:val="20"/>
          <w:szCs w:val="20"/>
        </w:rPr>
        <w:t xml:space="preserve"> программы бакалавриата в объеме не менее 72 академических часов (2 з.е.) в очной форме обучения;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элективных дисциплин (модулей) в объеме не менее 328 академических часов. Указанные академические часы являются обязательными для освоения и в з.е. не переводятся.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бакалавриата, набор соответствующих дисциплин (модулей) и практик становится обязательным для освоения обучающимся.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В </w:t>
      </w:r>
      <w:hyperlink w:anchor="Par209" w:history="1">
        <w:r>
          <w:rPr>
            <w:rFonts w:ascii="Arial" w:hAnsi="Arial" w:cs="Arial"/>
            <w:color w:val="0000FF"/>
            <w:sz w:val="20"/>
            <w:szCs w:val="20"/>
          </w:rPr>
          <w:t>Блок 2</w:t>
        </w:r>
      </w:hyperlink>
      <w:r>
        <w:rPr>
          <w:rFonts w:ascii="Arial" w:hAnsi="Arial" w:cs="Arial"/>
          <w:sz w:val="20"/>
          <w:szCs w:val="20"/>
        </w:rPr>
        <w:t xml:space="preserve"> "Практики" входят учебная и производственная, в том числе преддипломная, практики.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 учебной практики: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учебной практики: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технологическая практика.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производственной практики: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Учебная и (или) производственная практики могут проводиться в структурных подразделениях организации.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В </w:t>
      </w:r>
      <w:hyperlink w:anchor="Par216"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6.9. Реализация части (частей) образовательной программы и государственной итоговой аттестации, содержащей научно-техническую информацию, подлежащую экспортному контролю, и в рамках которой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6.10.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w:t>
      </w:r>
      <w:hyperlink w:anchor="Par206" w:history="1">
        <w:r>
          <w:rPr>
            <w:rFonts w:ascii="Arial" w:hAnsi="Arial" w:cs="Arial"/>
            <w:color w:val="0000FF"/>
            <w:sz w:val="20"/>
            <w:szCs w:val="20"/>
          </w:rPr>
          <w:t>Блока 1</w:t>
        </w:r>
      </w:hyperlink>
      <w:r>
        <w:rPr>
          <w:rFonts w:ascii="Arial" w:hAnsi="Arial" w:cs="Arial"/>
          <w:sz w:val="20"/>
          <w:szCs w:val="20"/>
        </w:rPr>
        <w:t xml:space="preserve"> "Дисциплины (модули)".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6.11. Количество часов, отведенных на занятия лекционного типа, в целом по </w:t>
      </w:r>
      <w:hyperlink w:anchor="Par198" w:history="1">
        <w:r>
          <w:rPr>
            <w:rFonts w:ascii="Arial" w:hAnsi="Arial" w:cs="Arial"/>
            <w:color w:val="0000FF"/>
            <w:sz w:val="20"/>
            <w:szCs w:val="20"/>
          </w:rPr>
          <w:t>Блоку 1</w:t>
        </w:r>
      </w:hyperlink>
      <w:r>
        <w:rPr>
          <w:rFonts w:ascii="Arial" w:hAnsi="Arial" w:cs="Arial"/>
          <w:sz w:val="20"/>
          <w:szCs w:val="20"/>
        </w:rP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w:t>
      </w:r>
    </w:p>
    <w:p w:rsidR="00DB7155" w:rsidRDefault="00DB7155" w:rsidP="00DB715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ПРОГРАММЫ БАКАЛАВРИАТА</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программы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2"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w:t>
      </w:r>
      <w:r>
        <w:rPr>
          <w:rFonts w:ascii="Arial" w:hAnsi="Arial" w:cs="Arial"/>
          <w:sz w:val="20"/>
          <w:szCs w:val="20"/>
        </w:rPr>
        <w:lastRenderedPageBreak/>
        <w:t xml:space="preserve">ст. 84; N 27, ст. 3979; N 29, ст. 4389, ст. 4390; 2016, N 28, ст. 4558), Федеральный </w:t>
      </w:r>
      <w:hyperlink r:id="rId13"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бакалавриата на созданных -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4" w:history="1">
        <w:r>
          <w:rPr>
            <w:rFonts w:ascii="Arial" w:hAnsi="Arial" w:cs="Arial"/>
            <w:color w:val="0000FF"/>
            <w:sz w:val="20"/>
            <w:szCs w:val="20"/>
          </w:rPr>
          <w:t>справочнике</w:t>
        </w:r>
      </w:hyperlink>
      <w:r>
        <w:rPr>
          <w:rFonts w:ascii="Arial" w:hAnsi="Arial" w:cs="Arial"/>
          <w:sz w:val="20"/>
          <w:szCs w:val="20"/>
        </w:rP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бакалавриата обеспечивается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70 процентов.</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программы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основным образовательным программам.</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финансовым условиям реализации программы бакалавриата.</w:t>
      </w:r>
    </w:p>
    <w:p w:rsidR="00DB7155" w:rsidRDefault="00DB7155" w:rsidP="00DB71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5"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autoSpaceDE w:val="0"/>
        <w:autoSpaceDN w:val="0"/>
        <w:adjustRightInd w:val="0"/>
        <w:spacing w:after="0" w:line="240" w:lineRule="auto"/>
        <w:jc w:val="both"/>
        <w:rPr>
          <w:rFonts w:ascii="Arial" w:hAnsi="Arial" w:cs="Arial"/>
          <w:sz w:val="20"/>
          <w:szCs w:val="20"/>
        </w:rPr>
      </w:pPr>
    </w:p>
    <w:p w:rsidR="00DB7155" w:rsidRDefault="00DB7155" w:rsidP="00DB7155">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DB7155">
      <w:bookmarkStart w:id="6" w:name="_GoBack"/>
      <w:bookmarkEnd w:id="6"/>
    </w:p>
    <w:sectPr w:rsidR="00363C1B" w:rsidSect="008B779D">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F9"/>
    <w:rsid w:val="000A1D57"/>
    <w:rsid w:val="002F3ACB"/>
    <w:rsid w:val="00DB7155"/>
    <w:rsid w:val="00FC6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10E897BD6F74311E5D87861FA55A360DB153030D0762B95961BDA7458E032E83D5B844D016635A091FB25828303A3D632DEEA6BC8D5D47mBO9H" TargetMode="External"/><Relationship Id="rId13" Type="http://schemas.openxmlformats.org/officeDocument/2006/relationships/hyperlink" Target="consultantplus://offline/ref=6C10E897BD6F74311E5D87861FA55A360DB9520F0A0E62B95961BDA7458E032E91D5E048D1117D5F0C0AE4096Dm6ODH" TargetMode="External"/><Relationship Id="rId3" Type="http://schemas.openxmlformats.org/officeDocument/2006/relationships/settings" Target="settings.xml"/><Relationship Id="rId7" Type="http://schemas.openxmlformats.org/officeDocument/2006/relationships/hyperlink" Target="consultantplus://offline/ref=6C10E897BD6F74311E5D87861FA55A360EB05001080062B95961BDA7458E032E91D5E048D1117D5F0C0AE4096Dm6ODH" TargetMode="External"/><Relationship Id="rId12" Type="http://schemas.openxmlformats.org/officeDocument/2006/relationships/hyperlink" Target="consultantplus://offline/ref=6C10E897BD6F74311E5D87861FA55A360CB1560F080262B95961BDA7458E032E91D5E048D1117D5F0C0AE4096Dm6ODH"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C10E897BD6F74311E5D87861FA55A360DB953000E0F62B95961BDA7458E032E83D5B844D016635A0E1FB25828303A3D632DEEA6BC8D5D47mBO9H" TargetMode="External"/><Relationship Id="rId11" Type="http://schemas.openxmlformats.org/officeDocument/2006/relationships/hyperlink" Target="consultantplus://offline/ref=6C10E897BD6F74311E5D87861FA55A360DB85101070762B95961BDA7458E032E83D5B844D01460570C1FB25828303A3D632DEEA6BC8D5D47mBO9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C10E897BD6F74311E5D87861FA55A360EB95D0F0E0362B95961BDA7458E032E83D5B844D016635F0B1FB25828303A3D632DEEA6BC8D5D47mBO9H" TargetMode="External"/><Relationship Id="rId10" Type="http://schemas.openxmlformats.org/officeDocument/2006/relationships/hyperlink" Target="consultantplus://offline/ref=6C10E897BD6F74311E5D87861FA55A360DB85101070762B95961BDA7458E032E83D5B844D01460570C1FB25828303A3D632DEEA6BC8D5D47mBO9H" TargetMode="External"/><Relationship Id="rId4" Type="http://schemas.openxmlformats.org/officeDocument/2006/relationships/webSettings" Target="webSettings.xml"/><Relationship Id="rId9" Type="http://schemas.openxmlformats.org/officeDocument/2006/relationships/hyperlink" Target="consultantplus://offline/ref=6C10E897BD6F74311E5D87861FA55A360DB15C0E0C0162B95961BDA7458E032E83D5B844D0166558041FB25828303A3D632DEEA6BC8D5D47mBO9H" TargetMode="External"/><Relationship Id="rId14" Type="http://schemas.openxmlformats.org/officeDocument/2006/relationships/hyperlink" Target="consultantplus://offline/ref=6C10E897BD6F74311E5D87861FA55A360EB056020E0162B95961BDA7458E032E83D5B844D016635E051FB25828303A3D632DEEA6BC8D5D47mBO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5682</Words>
  <Characters>32392</Characters>
  <Application>Microsoft Office Word</Application>
  <DocSecurity>0</DocSecurity>
  <Lines>269</Lines>
  <Paragraphs>75</Paragraphs>
  <ScaleCrop>false</ScaleCrop>
  <Company/>
  <LinksUpToDate>false</LinksUpToDate>
  <CharactersWithSpaces>37999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2018-10-17T07:14:00Z</dcterms:created>
  <dcterms:modified xsi:type="dcterms:W3CDTF">2018-10-17T07:15:00Z</dcterms:modified>
</cp:coreProperties>
</file>