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51E" w:rsidRDefault="00A7651E" w:rsidP="00A7651E">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A7651E" w:rsidRDefault="00A7651E" w:rsidP="00A7651E">
      <w:pPr>
        <w:autoSpaceDE w:val="0"/>
        <w:autoSpaceDN w:val="0"/>
        <w:adjustRightInd w:val="0"/>
        <w:spacing w:after="0" w:line="240" w:lineRule="auto"/>
        <w:jc w:val="both"/>
        <w:outlineLvl w:val="0"/>
        <w:rPr>
          <w:rFonts w:ascii="Arial" w:hAnsi="Arial" w:cs="Arial"/>
          <w:sz w:val="20"/>
          <w:szCs w:val="20"/>
        </w:rPr>
      </w:pPr>
    </w:p>
    <w:p w:rsidR="00A7651E" w:rsidRDefault="00A7651E" w:rsidP="00A7651E">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27 марта 2015 г. N 36589</w:t>
      </w:r>
    </w:p>
    <w:p w:rsidR="00A7651E" w:rsidRDefault="00A7651E" w:rsidP="00A7651E">
      <w:pPr>
        <w:pBdr>
          <w:top w:val="single" w:sz="6" w:space="0" w:color="auto"/>
        </w:pBdr>
        <w:autoSpaceDE w:val="0"/>
        <w:autoSpaceDN w:val="0"/>
        <w:adjustRightInd w:val="0"/>
        <w:spacing w:before="100" w:after="100" w:line="240" w:lineRule="auto"/>
        <w:jc w:val="both"/>
        <w:rPr>
          <w:rFonts w:ascii="Arial" w:hAnsi="Arial" w:cs="Arial"/>
          <w:sz w:val="2"/>
          <w:szCs w:val="2"/>
        </w:rPr>
      </w:pP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12 марта 2015 г. N 207</w:t>
      </w: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ПО НАПРАВЛЕНИЮ ПОДГОТОВКИ 09.03.03</w:t>
      </w: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ПРИКЛАДНАЯ ИНФОРМАТИКА (УРОВЕНЬ БАКАЛАВРИАТА)</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6"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4"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09.03.03 Прикладная информатика (уровень бакалавриата).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hyperlink r:id="rId7" w:history="1">
        <w:r>
          <w:rPr>
            <w:rFonts w:ascii="Arial" w:hAnsi="Arial" w:cs="Arial"/>
            <w:color w:val="0000FF"/>
            <w:sz w:val="20"/>
            <w:szCs w:val="20"/>
          </w:rPr>
          <w:t>приказ</w:t>
        </w:r>
      </w:hyperlink>
      <w:r>
        <w:rPr>
          <w:rFonts w:ascii="Arial" w:hAnsi="Arial" w:cs="Arial"/>
          <w:sz w:val="20"/>
          <w:szCs w:val="20"/>
        </w:rPr>
        <w:t xml:space="preserve"> Министерства образования и науки Российской Федерации от 22 декабря 2009 г. N 783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230700 Прикладная информатика (квалификация (степень) "бакалавр")" (зарегистрирован Министерством юстиции Российской Федерации 5 февраля 2010 г., регистрационный N 16278);</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hyperlink r:id="rId8" w:history="1">
        <w:r>
          <w:rPr>
            <w:rFonts w:ascii="Arial" w:hAnsi="Arial" w:cs="Arial"/>
            <w:color w:val="0000FF"/>
            <w:sz w:val="20"/>
            <w:szCs w:val="20"/>
          </w:rPr>
          <w:t>пункт 140</w:t>
        </w:r>
      </w:hyperlink>
      <w:r>
        <w:rPr>
          <w:rFonts w:ascii="Arial" w:hAnsi="Arial" w:cs="Arial"/>
          <w:sz w:val="20"/>
          <w:szCs w:val="20"/>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A7651E" w:rsidRDefault="00A7651E" w:rsidP="00A7651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Д.В.ЛИВАНОВ</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A7651E" w:rsidRDefault="00A7651E" w:rsidP="00A7651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A7651E" w:rsidRDefault="00A7651E" w:rsidP="00A7651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A7651E" w:rsidRDefault="00A7651E" w:rsidP="00A7651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12 марта 2015 г. N 207</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4"/>
      <w:bookmarkEnd w:id="0"/>
      <w:r>
        <w:rPr>
          <w:rFonts w:ascii="Arial" w:eastAsiaTheme="minorHAnsi" w:hAnsi="Arial" w:cs="Arial"/>
          <w:color w:val="auto"/>
          <w:sz w:val="20"/>
          <w:szCs w:val="20"/>
        </w:rPr>
        <w:t>ФЕДЕРАЛЬНЫЙ ГОСУДАРСТВЕННЫЙ ОБРАЗОВАТЕЛЬНЫЙ СТАНДАРТ</w:t>
      </w: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w:t>
      </w: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ВЫСШЕГО ОБРАЗОВАНИЯ</w:t>
      </w: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БАКАЛАВРИАТ</w:t>
      </w: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НАПРАВЛЕНИЕ ПОДГОТОВКИ</w:t>
      </w:r>
    </w:p>
    <w:p w:rsidR="00A7651E" w:rsidRDefault="00A7651E" w:rsidP="00A7651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09.03.03 ПРИКЛАДНАЯ ИНФОРМАТИКА</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ОБЛАСТЬ ПРИМЕНЕНИЯ</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09.03.03 Прикладная информатика (далее соответственно - программа бакалавриата, направление подготовки).</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ИСПОЛЬЗУЕМЫЕ СОКРАЩЕНИЯ</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ОК - общекультурные компетенции;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ХАРАКТЕРИСТИКА НАПРАВЛЕНИЯ ПОДГОТОВКИ</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бакалавриата в организациях осуществляется в очной, очно-заочной и заочной формах обучения.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бакалавриата: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3.4. При реализации программы бакалавриата организация вправе применять электронное обучение и дистанционные образовательные технологии.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бакалавриата возможна с использованием сетевой формы.</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ХАРАКТЕРИСТИКА ПРОФЕССИОНАЛЬНОЙ ДЕЯТЕЛЬНОСТИ</w:t>
      </w:r>
    </w:p>
    <w:p w:rsidR="00A7651E" w:rsidRDefault="00A7651E" w:rsidP="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ВЫПУСКНИКОВ, ОСВОИВШИХ ПРОГРАММУ БАКАЛАВРИАТА</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программу бакалавриата, включает:</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системный анализ прикладной области, формализация решения прикладных задач и процессов информационных систем;</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проектов автоматизации и информатизации прикладных процессов и создание информационных систем в прикладных областях;</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выполнение работ по созданию, модификации, внедрению и сопровождению информационных систем и управление этими работами.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программу бакалавриата, являются прикладные и информационные процессы, информационные технологии, информационные системы.</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бакалавриата: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производственно-технологическая;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аналитическая;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 деятельность:</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проведение обследования прикладной области в соответствии с профилем подготовки: сбор детальной информации для формализации требований пользователей заказчика, интервьюирование ключевых сотрудников заказчика;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требований к информатизации и автоматизации прикладных процессов, формализация предметной области проекта;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моделирование прикладных и информационных процессов, описание реализации информационного обеспечения прикладных задач;</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составление технико-экономического обоснования проектных решений и технического задания на разработку информационной системы;</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проектирование информационных систем в соответствии со спецификой профиля подготовки по видам обеспечения (программное, информационное, организационное, техническое);</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программирование приложений, создание прототипа информационной системы, документирование проектов информационной системы на стадиях жизненного цикла, использование функциональных и технологических стандартов;</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проведении переговоров с заказчиком и выявление его информационных потребностей;</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сбор детальной информации для формализации предметной области проекта и требований пользователей заказчика;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работ по описанию информационного обеспечения и реализации бизнес-процессов предприятия заказчика;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техническом и рабочем проектировании компонентов информационных систем в соответствии со спецификой профиля подготовки;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программирование в ходе разработки информационной системы;</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документирование компонентов информационной системы на стадиях жизненного цикла;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производственно-технологическая деятельность:</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работ по инсталляции программного обеспечения информационных систем (далее - ИС) и загрузке баз данных;</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настройка параметров ИС и тестирование результатов настройки;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ведение технической документации;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тестирование компонентов ИС по заданным сценариям;</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экспертном тестировании ИС на этапе опытной эксплуатации;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начальное обучение и консультирование пользователей по вопросам эксплуатации информационных систем;</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технического сопровождения информационных систем в процессе ее эксплуатации; информационное обеспечение прикладных процессов;</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организационно-управленческая деятельность:</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проведении переговоров с заказчиком и презентация проектов;</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координация работ по созданию, адаптации и сопровождению информационной системы;</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организации работ по управлению проектом информационных систем;</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с заказчиком в процессе реализации проекта;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участие в управлении техническим сопровождением информационной системы в процессе ее эксплуатации;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организации информационно-телекоммуникационной инфраструктуры и управлении информационной безопасностью информационных систем;</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участие в организации и управлении информационными ресурсами и сервисами;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аналитическая деятельность:</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анализ и выбор проектных решений по созданию и модификации информационных систем;</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анализ и выбор программно-технологических платформ и сервисов информационной системы;</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анализ результатов тестирования информационной системы;</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оценка затрат и рисков проектных решений, эффективности информационной системы;</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деятельность:</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применение системного подхода к информатизации и автоматизации решения прикладных задач, к построению информационных систем на основе современных информационно-коммуникационных технологий и математических методов;</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подготовка обзоров, аннотаций, составление рефератов, научных докладов, публикаций и библиографии по научно-исследовательской работе в области прикладной информатики.</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 ТРЕБОВАНИЯ К РЕЗУЛЬТАТАМ ОСВОЕНИЯ ПРОГРАММЫ БАКАЛАВРИАТА</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Выпускник, освоивший программу бакалавриата, должен обладать следующими общекультурными компетенциями: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философских знаний для формирования мировоззренческой позиции (ОК-1);</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анализировать основные этапы и закономерности исторического развития общества для формирования гражданской позиции (ОК-2);</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экономических знаний в различных сферах деятельности (ОК-3);</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правовых знаний в различных сферах деятельности (ОК-4);</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работать в коллективе, толерантно воспринимая социальные, этнические, конфессиональные и культурные различия (ОК-6);</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самоорганизации и самообразованию (ОК-7);</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приемы первой помощи, методы защиты в условиях чрезвычайных ситуаций (ОК-9).</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программу бакалавриата, должен обладать следующими общепрофессиональными компетенциями: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способностью использовать нормативно-правовые документы, международные и отечественные стандарты в области информационных систем и технологий (ОПК-1);</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анализировать социально-экономические задачи и процессы с применением методов системного анализа и математического моделирования (ОПК-2);</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основные законы естественнонаучных дисциплин и современные информационно-коммуникационные технологии в профессиональной деятельности (ОПК-3);</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(ОПК-4).</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 деятельность:</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проводить обследование организаций, выявлять информационные потребности пользователей, формировать требования к информационной системе (ПК-1);</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разрабатывать, внедрять и адаптировать прикладное программное обеспечение (ПК-2);</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проектировать ИС в соответствии с профилем подготовки по видам обеспечения (ПК-3);</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документировать процессы создания информационных систем на стадиях жизненного цикла (ПК-4);</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выполнять технико-экономическое обоснование проектных решений (ПК-5);</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собирать детальную информацию для формализации требований пользователей заказчика (ПК-6);</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проводить описание прикладных процессов и информационного обеспечения решения прикладных задач (ПК-7);</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программировать приложения и создавать программные прототипы решения прикладных задач (ПК-8);</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составлять техническую документацию проектов автоматизации и информатизации прикладных процессов (ПК-9);</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производственно-технологическая деятельность:</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принимать участие во внедрении, адаптации и настройке информационных систем (ПК-10);</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эксплуатировать и сопровождать информационные системы и сервисы (ПК-11);</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проводить тестирование компонентов программного обеспечения ИС (ПК-12);</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инсталляцию и настройку параметров программного обеспечения информационных систем (ПК-13);</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ведение базы данных и поддержку информационного обеспечения решения прикладных задач (ПК-14);</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тестирование компонентов информационных систем по заданным сценариям (ПК-15);</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презентацию информационной системы и начальное обучение пользователей (ПК-16);</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организационно-управленческая деятельность:</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принимать участие в управлении проектами создания информационных систем на стадиях жизненного цикла (ПК-17);</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принимать участие в организации ИТ-инфраструктуры и управлении информационной безопасностью (ПК-18);</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принимать участие в реализации профессиональных коммуникаций в рамках проектных групп, обучать пользователей информационных систем (ПК-19);</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аналитическая деятельность:</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и обосновывать выбор проектных решений по видам обеспечения информационных систем (ПК-20);</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проводить оценку экономических затрат и рисков при создании информационных систем (ПК-21);</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анализировать рынок программно-технических средств, информационных продуктов и услуг для создания и модификации информационных систем (ПК-22);</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деятельность:</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применять системный подход и математические методы в формализации решения прикладных задач (ПК-23);</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готовить обзоры научной литературы и электронных информационно-образовательных ресурсов для профессиональной деятельности (ПК-24).</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 ТРЕБОВАНИЯ К СТРУКТУРЕ ПРОГРАММЫ БАКАЛАВРИАТА</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бакалавриата состоит из следующих блоков:</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2 "Практики", который в полном объеме относится к вариативной части программы.</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3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&lt;1&gt; </w:t>
      </w:r>
      <w:hyperlink r:id="rId9" w:history="1">
        <w:r>
          <w:rPr>
            <w:rFonts w:ascii="Arial" w:hAnsi="Arial" w:cs="Arial"/>
            <w:color w:val="0000FF"/>
            <w:sz w:val="20"/>
            <w:szCs w:val="20"/>
          </w:rPr>
          <w:t>Подпункт 5.2.1</w:t>
        </w:r>
      </w:hyperlink>
      <w:r>
        <w:rPr>
          <w:rFonts w:ascii="Arial" w:hAnsi="Arial" w:cs="Arial"/>
          <w:sz w:val="20"/>
          <w:szCs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Структура программы бакалавриата</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rsidR="00A7651E" w:rsidRDefault="00A7651E" w:rsidP="00A7651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45"/>
        <w:gridCol w:w="4033"/>
        <w:gridCol w:w="2080"/>
        <w:gridCol w:w="2081"/>
      </w:tblGrid>
      <w:tr w:rsidR="00A7651E">
        <w:tc>
          <w:tcPr>
            <w:tcW w:w="5478" w:type="dxa"/>
            <w:gridSpan w:val="2"/>
            <w:vMerge w:val="restart"/>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Структура программы бакалавриата</w:t>
            </w:r>
          </w:p>
        </w:tc>
        <w:tc>
          <w:tcPr>
            <w:tcW w:w="4161" w:type="dxa"/>
            <w:gridSpan w:val="2"/>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Объем программы бакалавриата в з.е.</w:t>
            </w:r>
          </w:p>
        </w:tc>
      </w:tr>
      <w:tr w:rsidR="00A7651E">
        <w:tc>
          <w:tcPr>
            <w:tcW w:w="5478" w:type="dxa"/>
            <w:gridSpan w:val="2"/>
            <w:vMerge/>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both"/>
              <w:rPr>
                <w:rFonts w:ascii="Arial" w:hAnsi="Arial" w:cs="Arial"/>
                <w:sz w:val="20"/>
                <w:szCs w:val="20"/>
              </w:rPr>
            </w:pPr>
          </w:p>
        </w:tc>
        <w:tc>
          <w:tcPr>
            <w:tcW w:w="2080"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программа академического бакалавриата</w:t>
            </w:r>
          </w:p>
        </w:tc>
        <w:tc>
          <w:tcPr>
            <w:tcW w:w="2081"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программа прикладного бакалавриата</w:t>
            </w:r>
          </w:p>
        </w:tc>
      </w:tr>
      <w:tr w:rsidR="00A7651E">
        <w:tc>
          <w:tcPr>
            <w:tcW w:w="1445"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rPr>
                <w:rFonts w:ascii="Arial" w:hAnsi="Arial" w:cs="Arial"/>
                <w:sz w:val="20"/>
                <w:szCs w:val="20"/>
              </w:rPr>
            </w:pPr>
            <w:r>
              <w:rPr>
                <w:rFonts w:ascii="Arial" w:hAnsi="Arial" w:cs="Arial"/>
                <w:sz w:val="20"/>
                <w:szCs w:val="20"/>
              </w:rPr>
              <w:t>Блок 1</w:t>
            </w:r>
          </w:p>
        </w:tc>
        <w:tc>
          <w:tcPr>
            <w:tcW w:w="4033"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Дисциплины (модули)</w:t>
            </w:r>
          </w:p>
        </w:tc>
        <w:tc>
          <w:tcPr>
            <w:tcW w:w="2080"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w:t>
            </w:r>
          </w:p>
        </w:tc>
        <w:tc>
          <w:tcPr>
            <w:tcW w:w="2081"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207</w:t>
            </w:r>
          </w:p>
        </w:tc>
      </w:tr>
      <w:tr w:rsidR="00A7651E">
        <w:tc>
          <w:tcPr>
            <w:tcW w:w="1445" w:type="dxa"/>
            <w:vMerge w:val="restart"/>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rPr>
                <w:rFonts w:ascii="Arial" w:hAnsi="Arial" w:cs="Arial"/>
                <w:sz w:val="20"/>
                <w:szCs w:val="20"/>
              </w:rPr>
            </w:pPr>
          </w:p>
        </w:tc>
        <w:tc>
          <w:tcPr>
            <w:tcW w:w="4033"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2080"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105 - 114</w:t>
            </w:r>
          </w:p>
        </w:tc>
        <w:tc>
          <w:tcPr>
            <w:tcW w:w="2081"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96 - 105</w:t>
            </w:r>
          </w:p>
        </w:tc>
      </w:tr>
      <w:tr w:rsidR="00A7651E">
        <w:tc>
          <w:tcPr>
            <w:tcW w:w="1445" w:type="dxa"/>
            <w:vMerge/>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both"/>
              <w:rPr>
                <w:rFonts w:ascii="Arial" w:hAnsi="Arial" w:cs="Arial"/>
                <w:sz w:val="20"/>
                <w:szCs w:val="20"/>
              </w:rPr>
            </w:pPr>
          </w:p>
        </w:tc>
        <w:tc>
          <w:tcPr>
            <w:tcW w:w="4033"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2080"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102 - 111</w:t>
            </w:r>
          </w:p>
        </w:tc>
        <w:tc>
          <w:tcPr>
            <w:tcW w:w="2081"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102 - 111</w:t>
            </w:r>
          </w:p>
        </w:tc>
      </w:tr>
      <w:tr w:rsidR="00A7651E">
        <w:tc>
          <w:tcPr>
            <w:tcW w:w="1445" w:type="dxa"/>
            <w:vMerge w:val="restart"/>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rPr>
                <w:rFonts w:ascii="Arial" w:hAnsi="Arial" w:cs="Arial"/>
                <w:sz w:val="20"/>
                <w:szCs w:val="20"/>
              </w:rPr>
            </w:pPr>
            <w:r>
              <w:rPr>
                <w:rFonts w:ascii="Arial" w:hAnsi="Arial" w:cs="Arial"/>
                <w:sz w:val="20"/>
                <w:szCs w:val="20"/>
              </w:rPr>
              <w:t>Блок 2</w:t>
            </w:r>
          </w:p>
        </w:tc>
        <w:tc>
          <w:tcPr>
            <w:tcW w:w="4033"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rPr>
                <w:rFonts w:ascii="Arial" w:hAnsi="Arial" w:cs="Arial"/>
                <w:sz w:val="20"/>
                <w:szCs w:val="20"/>
              </w:rPr>
            </w:pPr>
            <w:r>
              <w:rPr>
                <w:rFonts w:ascii="Arial" w:hAnsi="Arial" w:cs="Arial"/>
                <w:sz w:val="20"/>
                <w:szCs w:val="20"/>
              </w:rPr>
              <w:t>Практики</w:t>
            </w:r>
          </w:p>
        </w:tc>
        <w:tc>
          <w:tcPr>
            <w:tcW w:w="2080"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15 - 18</w:t>
            </w:r>
          </w:p>
        </w:tc>
        <w:tc>
          <w:tcPr>
            <w:tcW w:w="2081"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24 - 27</w:t>
            </w:r>
          </w:p>
        </w:tc>
      </w:tr>
      <w:tr w:rsidR="00A7651E">
        <w:tc>
          <w:tcPr>
            <w:tcW w:w="1445" w:type="dxa"/>
            <w:vMerge/>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both"/>
              <w:rPr>
                <w:rFonts w:ascii="Arial" w:hAnsi="Arial" w:cs="Arial"/>
                <w:sz w:val="20"/>
                <w:szCs w:val="20"/>
              </w:rPr>
            </w:pPr>
          </w:p>
        </w:tc>
        <w:tc>
          <w:tcPr>
            <w:tcW w:w="4033"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2080"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15 - 18</w:t>
            </w:r>
          </w:p>
        </w:tc>
        <w:tc>
          <w:tcPr>
            <w:tcW w:w="2081"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24 - 27</w:t>
            </w:r>
          </w:p>
        </w:tc>
      </w:tr>
      <w:tr w:rsidR="00A7651E">
        <w:tc>
          <w:tcPr>
            <w:tcW w:w="1445" w:type="dxa"/>
            <w:vMerge w:val="restart"/>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rPr>
                <w:rFonts w:ascii="Arial" w:hAnsi="Arial" w:cs="Arial"/>
                <w:sz w:val="20"/>
                <w:szCs w:val="20"/>
              </w:rPr>
            </w:pPr>
            <w:r>
              <w:rPr>
                <w:rFonts w:ascii="Arial" w:hAnsi="Arial" w:cs="Arial"/>
                <w:sz w:val="20"/>
                <w:szCs w:val="20"/>
              </w:rPr>
              <w:t>Блок 3</w:t>
            </w:r>
          </w:p>
        </w:tc>
        <w:tc>
          <w:tcPr>
            <w:tcW w:w="4033"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rPr>
                <w:rFonts w:ascii="Arial" w:hAnsi="Arial" w:cs="Arial"/>
                <w:sz w:val="20"/>
                <w:szCs w:val="20"/>
              </w:rPr>
            </w:pPr>
            <w:r>
              <w:rPr>
                <w:rFonts w:ascii="Arial" w:hAnsi="Arial" w:cs="Arial"/>
                <w:sz w:val="20"/>
                <w:szCs w:val="20"/>
              </w:rPr>
              <w:t>Государственная итоговая аттестация</w:t>
            </w:r>
          </w:p>
        </w:tc>
        <w:tc>
          <w:tcPr>
            <w:tcW w:w="2080"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c>
          <w:tcPr>
            <w:tcW w:w="2081"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A7651E">
        <w:tc>
          <w:tcPr>
            <w:tcW w:w="1445" w:type="dxa"/>
            <w:vMerge/>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both"/>
              <w:rPr>
                <w:rFonts w:ascii="Arial" w:hAnsi="Arial" w:cs="Arial"/>
                <w:sz w:val="20"/>
                <w:szCs w:val="20"/>
              </w:rPr>
            </w:pPr>
          </w:p>
        </w:tc>
        <w:tc>
          <w:tcPr>
            <w:tcW w:w="4033"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2080"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c>
          <w:tcPr>
            <w:tcW w:w="2081"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A7651E">
        <w:tc>
          <w:tcPr>
            <w:tcW w:w="5478" w:type="dxa"/>
            <w:gridSpan w:val="2"/>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rPr>
                <w:rFonts w:ascii="Arial" w:hAnsi="Arial" w:cs="Arial"/>
                <w:sz w:val="20"/>
                <w:szCs w:val="20"/>
              </w:rPr>
            </w:pPr>
            <w:r>
              <w:rPr>
                <w:rFonts w:ascii="Arial" w:hAnsi="Arial" w:cs="Arial"/>
                <w:sz w:val="20"/>
                <w:szCs w:val="20"/>
              </w:rPr>
              <w:t>Объем программы бакалавриата</w:t>
            </w:r>
          </w:p>
        </w:tc>
        <w:tc>
          <w:tcPr>
            <w:tcW w:w="2080"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c>
          <w:tcPr>
            <w:tcW w:w="2081" w:type="dxa"/>
            <w:tcBorders>
              <w:top w:val="single" w:sz="4" w:space="0" w:color="auto"/>
              <w:left w:val="single" w:sz="4" w:space="0" w:color="auto"/>
              <w:bottom w:val="single" w:sz="4" w:space="0" w:color="auto"/>
              <w:right w:val="single" w:sz="4" w:space="0" w:color="auto"/>
            </w:tcBorders>
          </w:tcPr>
          <w:p w:rsidR="00A7651E" w:rsidRDefault="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r>
    </w:tbl>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Дисциплины (модули) по философии, истории, иностранному языку, безопасности жизнедеятельности реализуются в рамках базовой части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Дисциплины (модули) по физической культуре и спорту реализуются в рамках:</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базовой части Блока 1 "Дисциплины (модули)" программы бакалавриата в объеме не менее 72 академических часов (2 зачетные единицы) в очной форме обучения;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w:t>
      </w:r>
      <w:r>
        <w:rPr>
          <w:rFonts w:ascii="Arial" w:hAnsi="Arial" w:cs="Arial"/>
          <w:sz w:val="20"/>
          <w:szCs w:val="20"/>
        </w:rPr>
        <w:lastRenderedPageBreak/>
        <w:t>направленности (профиля) программы, набор соответствующих дисциплин (модулей) и практик становится обязательным для освоения обучающимся.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6.7. В Блок 2 "Практики" входят учебная и производственная, в том числе преддипломная, практики.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учебной практики: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учебной практики: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производственной практики: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профессиональных умений и опыта профессиональной деятельности;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работа.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производственной практики: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Преддипломная практика проводится для выполнения выпускной квалификационной работы и является обязательной.</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Учебная и (или) производственная практики могут проводиться в структурных подразделениях организации.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6.8. В Блок 3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части Блока 1 "Дисциплины (модули)".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6.10. Количество часов, отведенных на занятия лекционного типа, в целом по Блоку 1 "Дисциплины (модули)" должно составлять не более 40 процентов от общего количества часов аудиторных занятий, отведенных на реализацию данного Блока.</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VII. ТРЕБОВАНИЯ К УСЛОВИЯМ РЕАЛИЗАЦИИ</w:t>
      </w:r>
    </w:p>
    <w:p w:rsidR="00A7651E" w:rsidRDefault="00A7651E" w:rsidP="00A7651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ПРОГРАММЫ БАКАЛАВРИАТА</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7.1. Общесистемные требования к реализации программы бакалавриата.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w:t>
      </w:r>
      <w:r>
        <w:rPr>
          <w:rFonts w:ascii="Arial" w:hAnsi="Arial" w:cs="Arial"/>
          <w:sz w:val="20"/>
          <w:szCs w:val="20"/>
        </w:rPr>
        <w:lastRenderedPageBreak/>
        <w:t>дисциплинарной и междисциплинарной подготовки, практической и научно-исследовательской работ обучающихся, предусмотренных учебным планом.</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программы бакалавриата;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Федеральный </w:t>
      </w:r>
      <w:hyperlink r:id="rId10"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1"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12" w:history="1">
        <w:r>
          <w:rPr>
            <w:rFonts w:ascii="Arial" w:hAnsi="Arial" w:cs="Arial"/>
            <w:color w:val="0000FF"/>
            <w:sz w:val="20"/>
            <w:szCs w:val="20"/>
          </w:rPr>
          <w:t>справочнике</w:t>
        </w:r>
      </w:hyperlink>
      <w:r>
        <w:rPr>
          <w:rFonts w:ascii="Arial" w:hAnsi="Arial" w:cs="Arial"/>
          <w:sz w:val="20"/>
          <w:szCs w:val="20"/>
        </w:rPr>
        <w:t xml:space="preserve">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7.1.7. 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3" w:history="1">
        <w:r>
          <w:rPr>
            <w:rFonts w:ascii="Arial" w:hAnsi="Arial" w:cs="Arial"/>
            <w:color w:val="0000FF"/>
            <w:sz w:val="20"/>
            <w:szCs w:val="20"/>
          </w:rPr>
          <w:t>Пункт 4</w:t>
        </w:r>
      </w:hyperlink>
      <w:r>
        <w:rPr>
          <w:rFonts w:ascii="Arial" w:hAnsi="Arial" w:cs="Arial"/>
          <w:sz w:val="20"/>
          <w:szCs w:val="20"/>
        </w:rP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7.2. Требования к кадровым условиям реализации программы бакалавриата.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5 процентов.</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7.3. Требования к материально-техническому и учебно-методическому обеспечению программы бакалавриата.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7.4. Требования к финансовым условиям реализации программы бакалавриата.</w:t>
      </w:r>
    </w:p>
    <w:p w:rsidR="00A7651E" w:rsidRDefault="00A7651E" w:rsidP="00A7651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4"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autoSpaceDE w:val="0"/>
        <w:autoSpaceDN w:val="0"/>
        <w:adjustRightInd w:val="0"/>
        <w:spacing w:after="0" w:line="240" w:lineRule="auto"/>
        <w:jc w:val="both"/>
        <w:rPr>
          <w:rFonts w:ascii="Arial" w:hAnsi="Arial" w:cs="Arial"/>
          <w:sz w:val="20"/>
          <w:szCs w:val="20"/>
        </w:rPr>
      </w:pPr>
    </w:p>
    <w:p w:rsidR="00A7651E" w:rsidRDefault="00A7651E" w:rsidP="00A7651E">
      <w:pPr>
        <w:pBdr>
          <w:top w:val="single" w:sz="6" w:space="0" w:color="auto"/>
        </w:pBdr>
        <w:autoSpaceDE w:val="0"/>
        <w:autoSpaceDN w:val="0"/>
        <w:adjustRightInd w:val="0"/>
        <w:spacing w:before="100" w:after="100" w:line="240" w:lineRule="auto"/>
        <w:jc w:val="both"/>
        <w:rPr>
          <w:rFonts w:ascii="Arial" w:hAnsi="Arial" w:cs="Arial"/>
          <w:sz w:val="2"/>
          <w:szCs w:val="2"/>
        </w:rPr>
      </w:pPr>
    </w:p>
    <w:p w:rsidR="00363C1B" w:rsidRDefault="00A7651E">
      <w:bookmarkStart w:id="1" w:name="_GoBack"/>
      <w:bookmarkEnd w:id="1"/>
    </w:p>
    <w:sectPr w:rsidR="00363C1B" w:rsidSect="006B3E22">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271"/>
    <w:rsid w:val="000A1D57"/>
    <w:rsid w:val="00234271"/>
    <w:rsid w:val="002F3ACB"/>
    <w:rsid w:val="00A76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87566A108B6245BB2632ECB9E609D52314DEED948978A02716D3A495E9A091B0CC9D53C55DF3ACC65A1ECD2BFCF3FA3254E4044D9CD34tENAH" TargetMode="External"/><Relationship Id="rId13" Type="http://schemas.openxmlformats.org/officeDocument/2006/relationships/hyperlink" Target="consultantplus://offline/ref=F4E87566A108B6245BB2632ECB9E609D52334AE8DE44978A02716D3A495E9A091B0CC9D53C55D73BCC65A1ECD2BFCF3FA3254E4044D9CD34tENAH" TargetMode="External"/><Relationship Id="rId3" Type="http://schemas.openxmlformats.org/officeDocument/2006/relationships/settings" Target="settings.xml"/><Relationship Id="rId7" Type="http://schemas.openxmlformats.org/officeDocument/2006/relationships/hyperlink" Target="consultantplus://offline/ref=F4E87566A108B6245BB2632ECB9E609D52374CE9D044978A02716D3A495E9A09090C91D93D52C93BCA70F7BD97tEN2H" TargetMode="External"/><Relationship Id="rId12" Type="http://schemas.openxmlformats.org/officeDocument/2006/relationships/hyperlink" Target="consultantplus://offline/ref=F4E87566A108B6245BB2632ECB9E609D523748E9D94A978A02716D3A495E9A091B0CC9D53C55D73AC365A1ECD2BFCF3FA3254E4044D9CD34tENAH"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4E87566A108B6245BB2632ECB9E609D513E4DEBD944978A02716D3A495E9A091B0CC9D53C55D73EC865A1ECD2BFCF3FA3254E4044D9CD34tENAH" TargetMode="External"/><Relationship Id="rId11" Type="http://schemas.openxmlformats.org/officeDocument/2006/relationships/hyperlink" Target="consultantplus://offline/ref=F4E87566A108B6245BB2632ECB9E609D513E4CE4DD45978A02716D3A495E9A09090C91D93D52C93BCA70F7BD97tEN2H"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F4E87566A108B6245BB2632ECB9E609D503648E4DF49978A02716D3A495E9A09090C91D93D52C93BCA70F7BD97tEN2H" TargetMode="External"/><Relationship Id="rId4" Type="http://schemas.openxmlformats.org/officeDocument/2006/relationships/webSettings" Target="webSettings.xml"/><Relationship Id="rId9" Type="http://schemas.openxmlformats.org/officeDocument/2006/relationships/hyperlink" Target="consultantplus://offline/ref=F4E87566A108B6245BB2632ECB9E609D513F4CEBDD4F978A02716D3A495E9A091B0CC9D53C55D738CB65A1ECD2BFCF3FA3254E4044D9CD34tENAH" TargetMode="External"/><Relationship Id="rId14" Type="http://schemas.openxmlformats.org/officeDocument/2006/relationships/hyperlink" Target="consultantplus://offline/ref=F4E87566A108B6245BB2632ECB9E609D523348ECD84C978A02716D3A495E9A091B0CC9D53C55D73BC865A1ECD2BFCF3FA3254E4044D9CD34tEN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5315</Words>
  <Characters>30301</Characters>
  <Application>Microsoft Office Word</Application>
  <DocSecurity>0</DocSecurity>
  <Lines>252</Lines>
  <Paragraphs>71</Paragraphs>
  <ScaleCrop>false</ScaleCrop>
  <Company/>
  <LinksUpToDate>false</LinksUpToDate>
  <CharactersWithSpaces>35545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2018-10-17T07:14:00Z</dcterms:created>
  <dcterms:modified xsi:type="dcterms:W3CDTF">2018-10-17T07:14:00Z</dcterms:modified>
</cp:coreProperties>
</file>