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C6D" w:rsidRDefault="000E0C6D" w:rsidP="000E0C6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0E0C6D" w:rsidRDefault="000E0C6D" w:rsidP="000E0C6D">
      <w:pPr>
        <w:autoSpaceDE w:val="0"/>
        <w:autoSpaceDN w:val="0"/>
        <w:adjustRightInd w:val="0"/>
        <w:spacing w:after="0" w:line="240" w:lineRule="auto"/>
        <w:jc w:val="both"/>
        <w:outlineLvl w:val="0"/>
        <w:rPr>
          <w:rFonts w:ascii="Arial" w:hAnsi="Arial" w:cs="Arial"/>
          <w:sz w:val="20"/>
          <w:szCs w:val="20"/>
        </w:rPr>
      </w:pPr>
    </w:p>
    <w:p w:rsidR="000E0C6D" w:rsidRDefault="000E0C6D" w:rsidP="000E0C6D">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20 августа 2014 г. N 33688</w:t>
      </w:r>
    </w:p>
    <w:p w:rsidR="000E0C6D" w:rsidRDefault="000E0C6D" w:rsidP="000E0C6D">
      <w:pPr>
        <w:pBdr>
          <w:top w:val="single" w:sz="6" w:space="0" w:color="auto"/>
        </w:pBdr>
        <w:autoSpaceDE w:val="0"/>
        <w:autoSpaceDN w:val="0"/>
        <w:adjustRightInd w:val="0"/>
        <w:spacing w:before="100" w:after="100" w:line="240" w:lineRule="auto"/>
        <w:jc w:val="both"/>
        <w:rPr>
          <w:rFonts w:ascii="Arial" w:hAnsi="Arial" w:cs="Arial"/>
          <w:sz w:val="2"/>
          <w:szCs w:val="2"/>
        </w:rPr>
      </w:pP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30 июля 2014 г. N 898</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38.06.01</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ЭКОНОМИКА (УРОВЕНЬ ПОДГОТОВКИ КАДРОВ ВЫСШЕЙ КВАЛИФИКАЦИИ)</w:t>
      </w:r>
    </w:p>
    <w:p w:rsidR="000E0C6D" w:rsidRDefault="000E0C6D" w:rsidP="000E0C6D">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0E0C6D">
        <w:trPr>
          <w:jc w:val="center"/>
        </w:trPr>
        <w:tc>
          <w:tcPr>
            <w:tcW w:w="10145" w:type="dxa"/>
            <w:tcBorders>
              <w:left w:val="single" w:sz="24" w:space="0" w:color="CED3F1"/>
              <w:right w:val="single" w:sz="24" w:space="0" w:color="F4F3F8"/>
            </w:tcBorders>
            <w:shd w:val="clear" w:color="auto" w:fill="F4F3F8"/>
          </w:tcPr>
          <w:p w:rsidR="000E0C6D" w:rsidRDefault="000E0C6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E0C6D" w:rsidRDefault="000E0C6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6"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30.04.2015 N 464)</w:t>
            </w:r>
          </w:p>
        </w:tc>
      </w:tr>
    </w:tbl>
    <w:p w:rsidR="000E0C6D" w:rsidRDefault="000E0C6D" w:rsidP="000E0C6D">
      <w:pPr>
        <w:autoSpaceDE w:val="0"/>
        <w:autoSpaceDN w:val="0"/>
        <w:adjustRightInd w:val="0"/>
        <w:spacing w:after="0" w:line="240" w:lineRule="auto"/>
        <w:jc w:val="center"/>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4"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38.06.01 Экономика (уровень подготовки кадров высшей квалификации).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Настоящий приказ вступает в силу с 1 сентября 2014 года.</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0E0C6D" w:rsidRDefault="000E0C6D" w:rsidP="000E0C6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0E0C6D" w:rsidRDefault="000E0C6D" w:rsidP="000E0C6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0E0C6D" w:rsidRDefault="000E0C6D" w:rsidP="000E0C6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0E0C6D" w:rsidRDefault="000E0C6D" w:rsidP="000E0C6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30 июля 2014 г. N 898</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4"/>
      <w:bookmarkEnd w:id="0"/>
      <w:r>
        <w:rPr>
          <w:rFonts w:ascii="Arial" w:eastAsiaTheme="minorHAnsi" w:hAnsi="Arial" w:cs="Arial"/>
          <w:color w:val="auto"/>
          <w:sz w:val="20"/>
          <w:szCs w:val="20"/>
        </w:rPr>
        <w:t>ФЕДЕРАЛЬНЫЙ ГОСУДАРСТВЕННЫЙ ОБРАЗОВАТЕЛЬНЫЙ СТАНДАРТ</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ПОДГОТОВКА КАДРОВ ВЫСШЕЙ КВАЛИФИКАЦИИ</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0E0C6D" w:rsidRDefault="000E0C6D" w:rsidP="000E0C6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38.06.01 ЭКОНОМИКА</w:t>
      </w:r>
    </w:p>
    <w:p w:rsidR="000E0C6D" w:rsidRDefault="000E0C6D" w:rsidP="000E0C6D">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0E0C6D">
        <w:trPr>
          <w:jc w:val="center"/>
        </w:trPr>
        <w:tc>
          <w:tcPr>
            <w:tcW w:w="10145" w:type="dxa"/>
            <w:tcBorders>
              <w:left w:val="single" w:sz="24" w:space="0" w:color="CED3F1"/>
              <w:right w:val="single" w:sz="24" w:space="0" w:color="F4F3F8"/>
            </w:tcBorders>
            <w:shd w:val="clear" w:color="auto" w:fill="F4F3F8"/>
          </w:tcPr>
          <w:p w:rsidR="000E0C6D" w:rsidRDefault="000E0C6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E0C6D" w:rsidRDefault="000E0C6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8"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30.04.2015 N 464)</w:t>
            </w:r>
          </w:p>
        </w:tc>
      </w:tr>
    </w:tbl>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подготовки научно-педагогических кадров в аспирантуре по направлению подготовки кадров высшей квалификации 38.06.01 Экономика (далее соответственно - программа аспирантуры, направление подготовки).</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 высшее образование;</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 - универсальные компетенции;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аспирантуры допускается в образовательных организациях высшего образования, организациях дополнительного профессионального образования, научных организациях (далее - организация).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аспирантуры в организациях осуществляется в очной и заочной формах обучения.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аспирантуры составляет 180 зачетных единиц (далее - з.е.) вне зависимости от формы обучения, применяемых образовательных технологий, реализации программы аспирантуры с использованием сетевой формы, реализации программы аспирантуры по индивидуальному учебному плану, в том числе при ускоренном обучении.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аспирантуры: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3 года. Объем программы аспирантуры в очной форме обучения, реализуемый за один учебный год, составляет 60 з.е.;</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заочной форме обучения, вне зависимости от применяемых образовательных технологий, увеличивается не менее чем на 6 месяцев и не более чем на 1 год (по усмотрению организации) по сравнению со сроком получения образования в очной форме обучения. Объем программы аспирантуры в заочной форме обучения, реализуемый за один учебный год, определяется организацией самостоятельно;</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плану лиц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аспирантуры при обучении по индивидуальному плану не может составлять более 75 з.е. за один учебный год.</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 реализации программы аспирантуры организация вправе применять электронное обучение и дистанционные образовательные технологии.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аспирантуры возможна с использованием сетевой формы.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аспирантуры осуществляется на государственном языке Российской Федерации, если иное не определено локальным нормативным актом организации.</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0E0C6D" w:rsidRDefault="000E0C6D" w:rsidP="000E0C6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АСПИРАНТУРЫ</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аспирантуры, включает экономическую теорию, макроэкономическое управление, регулирование и планирование, экономику и управление предприятием, отраслями и межотраслевыми комплексами, менеджмент, маркетинг, логистику, управление инновациями, финансы, денежное обращение и кредит, бухгалтерский учет, статистику, математические и инструментальные методы экономики, мировую экономику, экономику предпринимательства.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аспирантуры, являются: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концептуальные (фундаментальные) проблемы экономической науки, включая методы экономического анализа;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прикладные проблемы функционирования различных экономических агентов, рынков и систем.</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аспирантуры: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 в области экономики: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фундаментальные исследования в области экономической теории и финансов;</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исследования в области истории экономических процессов, истории экономических учений и развития методологии экономического анализа;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исследования национальной и мировой финансовых систем;</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общегосударственных, территориальных и местных финансов;</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финансов хозяйствующих субъектов;</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финансов домохозяйств;</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рынка ценных бумаг и валютного рынка;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рынок страховых услуг;</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денежного рынка, денежной системы и денежного оборота;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оценочной деятельности;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кредитных отношений, банков и иных финансово-кредитных организаций;</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и совершенствование математических и инструментальных методов экономического анализа, методов анализа экономической статистики и бухгалтерского учета;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прикладные экономические исследования на основе фундаментальных методов экономического анализа;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исследование проблем становления и развития теории и практики управления организациями как социальными и экономическими системами с целью вскрытия устойчивых связей и закономерностей, определяющих природу и содержание этих проблем, логику и механизмы их разрешения;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выявление, анализ и разрешение проблем инновационного развития национальной экономики, управления основными параметрами инновационных процессов в современной экономике, научно-технического и организационного обновления социально-экономических систем, а также методов и инструментов оценки результатов инновационной деятельности;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планирование, организация и управление потоками материальных, информационных, финансовых и людских ресурсов с целью их рационализации;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спрос и предложение, структура и развитие рынков, их исследование и сегментация, рыночное позиционирование продуктов и компаний, конкурентоспособность и конкуренция, концепции маркетинга, методы и формы управления маркетинговой деятельностью в организации в современных условиях развития российской экономики и глобализации рынков;</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исследования, раскрывающие источники и механизмы достижения фирмами конкурентных преимуществ на современных рынках, новейшие явления и тенденции мировой практики управления компаниями;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фундаментальные и прикладные исследования отраслевых, региональных и мировых рынков; организационно-хозяйственной деятельности субъектов рынка;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теоретических и методологических принципов, методов и способов управления социальными и экономическими системами;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современных тенденций и прогнозов развития экономики, определение научно обоснованных организационно-экономических форм деятельности;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совершенствование методов управления и государственного регулирования;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изучение закономерностей и тенденций развития системы ведения предпринимательской деятельности;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методологии, теории формирования и развития предпринимательства.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преподавательская деятельность:</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учебных курсов по областям профессиональной деятельности, в том числе на основе результатов проведенных теоретических и эмпирических исследований, включая подготовку методических материалов, учебных пособий и учебников;</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преподавание экономических дисциплин и учебно-методическая работа по областям профессиональной деятельности;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ведение научно-исследовательской работы в образовательной организации, в том числе руководство научно-исследовательской работой студентов.</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аспирантуры направлена на освоение всех видов профессиональной деятельности, к которым готовится выпускник.</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АСПИРАНТУРЫ</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аспирантуры у выпускника должны быть сформированы: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универсальные компетенции, не зависящие от конкретного направления подготовки;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общепрофессиональные компетенции, определяемые направлением подготовки;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профессиональные компетенции, определяемые направленностью (профилем) программы аспирантуры в рамках направления подготовки (далее - направленность программы).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5.2. Выпускник, освоивший программу аспирантуры, должен обладать следующими универсальными компетенциями: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работе российских и международных исследовательских коллективов по решению научных и научно-образовательных задач (УК-3);</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использовать современные методы и технологии научной коммуникации на государственном и иностранном языках (УК-4);</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следовать этическим нормам в профессиональной деятельности (УК-5);</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планировать и решать задачи собственного профессионального и личностного развития (УК-6).</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аспирантуры, должен обладать следующими общепрофессиональными компетенциями: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(ОПК-1);</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организовать работу исследовательского коллектива в научной отрасли, соответствующей направлению подготовки (ОПК-2);</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преподавательской деятельности по образовательным программам высшего образования (ОПК-3).</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При разработке программы аспирантуры все универсальные и общепрофессиональные компетенции включаются в набор требуемых результатов освоения программы аспирантуры.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Перечень профессиональных компетенций программы аспирантуры организация формирует самостоятельно в соответствии с направленностью программы и (или) </w:t>
      </w:r>
      <w:hyperlink r:id="rId9" w:history="1">
        <w:r>
          <w:rPr>
            <w:rFonts w:ascii="Arial" w:hAnsi="Arial" w:cs="Arial"/>
            <w:color w:val="0000FF"/>
            <w:sz w:val="20"/>
            <w:szCs w:val="20"/>
          </w:rPr>
          <w:t>номенклатурой</w:t>
        </w:r>
      </w:hyperlink>
      <w:r>
        <w:rPr>
          <w:rFonts w:ascii="Arial" w:hAnsi="Arial" w:cs="Arial"/>
          <w:sz w:val="20"/>
          <w:szCs w:val="20"/>
        </w:rPr>
        <w:t xml:space="preserve"> научных специальностей, по которым присуждаются ученые степени, утверждаемой Министерством образования и науки Российской Федерации &lt;1&gt;.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0" w:history="1">
        <w:r>
          <w:rPr>
            <w:rFonts w:ascii="Arial" w:hAnsi="Arial" w:cs="Arial"/>
            <w:color w:val="0000FF"/>
            <w:sz w:val="20"/>
            <w:szCs w:val="20"/>
          </w:rPr>
          <w:t>Подпункт 5.2.73(3)</w:t>
        </w:r>
      </w:hyperlink>
      <w:r>
        <w:rPr>
          <w:rFonts w:ascii="Arial" w:hAnsi="Arial" w:cs="Arial"/>
          <w:sz w:val="20"/>
          <w:szCs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АСПИРАНТУРЫ</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аспирантуры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аспирантуры, имеющих различную направленность программы в рамках одного направления подготовки.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аспирантуры состоит из следующих блоков:</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Блок 2. "Практики", который в полном объеме относится к вариативной части программы.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3. "Научные исследования", который в полном объеме относится к вариативной части программы.</w:t>
      </w:r>
    </w:p>
    <w:p w:rsidR="000E0C6D" w:rsidRDefault="000E0C6D" w:rsidP="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4. "Государственная итоговая аттестация", который в полном объеме относится к базовой части программы и завершается присвоением квалификации "Исследователь. Преподаватель-исследователь".</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аспирантуры</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0E0C6D" w:rsidRDefault="000E0C6D" w:rsidP="000E0C6D">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0"/>
        <w:gridCol w:w="2520"/>
      </w:tblGrid>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элемента программы</w:t>
            </w:r>
          </w:p>
        </w:tc>
        <w:tc>
          <w:tcPr>
            <w:tcW w:w="252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Объем (в з.е.)</w:t>
            </w: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Блок 1 "Дисциплины (модули)"</w:t>
            </w:r>
          </w:p>
        </w:tc>
        <w:tc>
          <w:tcPr>
            <w:tcW w:w="252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Базовая часть</w:t>
            </w:r>
          </w:p>
        </w:tc>
        <w:tc>
          <w:tcPr>
            <w:tcW w:w="2520" w:type="dxa"/>
            <w:vMerge w:val="restart"/>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Дисциплины (модули), в том числе направленные на подготовку к сдаче кандидатских экзаменов</w:t>
            </w:r>
          </w:p>
        </w:tc>
        <w:tc>
          <w:tcPr>
            <w:tcW w:w="2520" w:type="dxa"/>
            <w:vMerge/>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Вариативная часть</w:t>
            </w:r>
          </w:p>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Дисциплина/дисциплины (модуль/модули), в том числе направленные на подготовку к сдаче кандидатского экзамена</w:t>
            </w:r>
          </w:p>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Дисциплина/дисциплины (модуль/модули), направленные на подготовку к преподавательской деятельности</w:t>
            </w:r>
          </w:p>
        </w:tc>
        <w:tc>
          <w:tcPr>
            <w:tcW w:w="252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Блок 2 "Практики"</w:t>
            </w:r>
          </w:p>
        </w:tc>
        <w:tc>
          <w:tcPr>
            <w:tcW w:w="2520" w:type="dxa"/>
            <w:vMerge w:val="restart"/>
            <w:tcBorders>
              <w:top w:val="single" w:sz="4" w:space="0" w:color="auto"/>
              <w:left w:val="single" w:sz="4" w:space="0" w:color="auto"/>
              <w:right w:val="single" w:sz="4" w:space="0" w:color="auto"/>
            </w:tcBorders>
            <w:vAlign w:val="center"/>
          </w:tcPr>
          <w:p w:rsidR="000E0C6D" w:rsidRDefault="000E0C6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w:t>
            </w: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Вариативная часть</w:t>
            </w:r>
          </w:p>
        </w:tc>
        <w:tc>
          <w:tcPr>
            <w:tcW w:w="2520" w:type="dxa"/>
            <w:vMerge/>
            <w:tcBorders>
              <w:top w:val="single" w:sz="4" w:space="0" w:color="auto"/>
              <w:left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Блок 3 "Научные исследования"</w:t>
            </w:r>
          </w:p>
        </w:tc>
        <w:tc>
          <w:tcPr>
            <w:tcW w:w="2520" w:type="dxa"/>
            <w:vMerge/>
            <w:tcBorders>
              <w:top w:val="single" w:sz="4" w:space="0" w:color="auto"/>
              <w:left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p>
        </w:tc>
      </w:tr>
      <w:tr w:rsidR="000E0C6D">
        <w:tc>
          <w:tcPr>
            <w:tcW w:w="7080" w:type="dxa"/>
            <w:tcBorders>
              <w:top w:val="single" w:sz="4" w:space="0" w:color="auto"/>
              <w:left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Вариативная часть</w:t>
            </w:r>
          </w:p>
        </w:tc>
        <w:tc>
          <w:tcPr>
            <w:tcW w:w="2520" w:type="dxa"/>
            <w:vMerge/>
            <w:tcBorders>
              <w:top w:val="single" w:sz="4" w:space="0" w:color="auto"/>
              <w:left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p>
        </w:tc>
      </w:tr>
      <w:tr w:rsidR="000E0C6D">
        <w:tc>
          <w:tcPr>
            <w:tcW w:w="9600" w:type="dxa"/>
            <w:gridSpan w:val="2"/>
            <w:tcBorders>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rPr>
                <w:rFonts w:ascii="Arial" w:hAnsi="Arial" w:cs="Arial"/>
                <w:sz w:val="20"/>
                <w:szCs w:val="20"/>
              </w:rPr>
            </w:pPr>
            <w:r>
              <w:rPr>
                <w:rFonts w:ascii="Arial" w:hAnsi="Arial" w:cs="Arial"/>
                <w:sz w:val="20"/>
                <w:szCs w:val="20"/>
              </w:rPr>
              <w:t>Блок 4 "Государственная итоговая аттестация"</w:t>
            </w:r>
          </w:p>
        </w:tc>
        <w:tc>
          <w:tcPr>
            <w:tcW w:w="252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52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rPr>
                <w:rFonts w:ascii="Arial" w:hAnsi="Arial" w:cs="Arial"/>
                <w:sz w:val="20"/>
                <w:szCs w:val="20"/>
              </w:rPr>
            </w:pPr>
          </w:p>
        </w:tc>
      </w:tr>
      <w:tr w:rsidR="000E0C6D">
        <w:tc>
          <w:tcPr>
            <w:tcW w:w="708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аспирантуры</w:t>
            </w:r>
          </w:p>
        </w:tc>
        <w:tc>
          <w:tcPr>
            <w:tcW w:w="2520" w:type="dxa"/>
            <w:tcBorders>
              <w:top w:val="single" w:sz="4" w:space="0" w:color="auto"/>
              <w:left w:val="single" w:sz="4" w:space="0" w:color="auto"/>
              <w:bottom w:val="single" w:sz="4" w:space="0" w:color="auto"/>
              <w:right w:val="single" w:sz="4" w:space="0" w:color="auto"/>
            </w:tcBorders>
          </w:tcPr>
          <w:p w:rsidR="000E0C6D" w:rsidRDefault="000E0C6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180</w:t>
            </w:r>
          </w:p>
        </w:tc>
      </w:tr>
    </w:tbl>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Блока 1 "Дисциплины (модули)", в том числе направленные на подготовку к сдаче кандидатских экзаменов, являются обязательными для освоения обучающимся независимо от направленности программы аспирантуры, которую он осваивает.</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Набор дисциплин (модулей) вариативной части Блока 1 "Дисциплины (модули)" организация определяет самостоятельно в соответствии с направленностью программы аспирантуры в объеме, установленном настоящим ФГОС ВО.</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аспирантуры разрабатывается в части дисциплин (модулей), направленных на подготовку к сдаче кандидатских экзаменов в соответствии с примерными программами, утверждаемыми Министерством образования и науки Российской Федерации &lt;1&gt;.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3" w:history="1">
        <w:r>
          <w:rPr>
            <w:rFonts w:ascii="Arial" w:hAnsi="Arial" w:cs="Arial"/>
            <w:color w:val="0000FF"/>
            <w:sz w:val="20"/>
            <w:szCs w:val="20"/>
          </w:rPr>
          <w:t>Пункт 3</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6.4. В Блок 2 "Практики" входят практики по получению профессиональных умений и опыта профессиональной деятельности (в том числе педагогическая практика).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практика является обязательной.</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практики: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может проводиться в структурных подразделениях организации.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В Блок 3 "Научные исследования" входят научно-исследовательская деятельность и подготовка научно-квалификационной работы (диссертации) на соискание ученой степени кандидата наук.</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выбора обучающимся направленности программы и темы научно-квалификационной работы (диссертации) набор соответствующих дисциплин (модулей) и практик становится обязательным для освоения обучающимся.</w:t>
      </w:r>
    </w:p>
    <w:p w:rsidR="000E0C6D" w:rsidRDefault="000E0C6D" w:rsidP="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6.5 в ред. </w:t>
      </w:r>
      <w:hyperlink r:id="rId14"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В Блок 4 "Государственная итоговая аттестация" входят подготовка к сдаче и сдача государственного экзамена, а также представление научного доклада об основных результатах подготовленной научно-квалификационной работы (диссертации), оформленной в соответствии с требованиями, устанавливаемыми Министерством образования и науки Российской Федерации &lt;1&gt;.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5" w:history="1">
        <w:r>
          <w:rPr>
            <w:rFonts w:ascii="Arial" w:hAnsi="Arial" w:cs="Arial"/>
            <w:color w:val="0000FF"/>
            <w:sz w:val="20"/>
            <w:szCs w:val="20"/>
          </w:rPr>
          <w:t>Пункт 15</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 2014, N 32, ст. 4496).</w:t>
      </w:r>
    </w:p>
    <w:p w:rsidR="000E0C6D" w:rsidRDefault="000E0C6D" w:rsidP="000E0C6D">
      <w:pPr>
        <w:autoSpaceDE w:val="0"/>
        <w:autoSpaceDN w:val="0"/>
        <w:adjustRightInd w:val="0"/>
        <w:spacing w:after="0" w:line="240" w:lineRule="auto"/>
        <w:ind w:firstLine="540"/>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 результатам представления научного доклада об основных результатах подготовленной научно-квалификационной работы (диссертации) организация дает заключение, в соответствии с </w:t>
      </w:r>
      <w:hyperlink r:id="rId16" w:history="1">
        <w:r>
          <w:rPr>
            <w:rFonts w:ascii="Arial" w:hAnsi="Arial" w:cs="Arial"/>
            <w:color w:val="0000FF"/>
            <w:sz w:val="20"/>
            <w:szCs w:val="20"/>
          </w:rPr>
          <w:t>пунктом 16</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(Собрание законодательства Российской Федерации, 2013, N 40, ст. 5074; 2014, N 32, ст. 4496).</w:t>
      </w:r>
    </w:p>
    <w:p w:rsidR="000E0C6D" w:rsidRDefault="000E0C6D" w:rsidP="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6.6 в ред. </w:t>
      </w:r>
      <w:hyperlink r:id="rId17"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 ПРОГРАММЫ АСПИРАНТУРЫ</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аспирантуры.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деятельности обучающихся, предусмотренных учебным планом.</w:t>
      </w:r>
    </w:p>
    <w:p w:rsidR="000E0C6D" w:rsidRDefault="000E0C6D" w:rsidP="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и отвечающая техническим требованиям организации, как на территории организации, так и вне ее.</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Электронная информационно-образовательная среда организации должна обеспечивать:</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и к изданиям электронных библиотечных систем и электронным образовательным ресурсам, указанным в рабочих программах;</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9"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N 52, ст. 6963), Федеральный </w:t>
      </w:r>
      <w:hyperlink r:id="rId20"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N 31, ст. 4196; N 49, ст. 6409; 2011, N 23, ст. 3263; N 31, ст. 4701; 2013, N 14, ст. 1651; N 30, ст. 4038; N 51, ст. 6683).</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аспирантуры в сетевой форме требования к реализации программы аспирантуры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аспирантуры в сетевой форме.</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аспирантуры на кафедрах, созданных в установленном порядке в иных организациях или в иных структурных подразделениях организации, требования к условиям реализации программы аспирантуры должны обеспечиваться совокупностью ресурсов организаций.</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21" w:history="1">
        <w:r>
          <w:rPr>
            <w:rFonts w:ascii="Arial" w:hAnsi="Arial" w:cs="Arial"/>
            <w:color w:val="0000FF"/>
            <w:sz w:val="20"/>
            <w:szCs w:val="20"/>
          </w:rPr>
          <w:t>справочнике</w:t>
        </w:r>
      </w:hyperlink>
      <w:r>
        <w:rPr>
          <w:rFonts w:ascii="Arial" w:hAnsi="Arial" w:cs="Arial"/>
          <w:sz w:val="20"/>
          <w:szCs w:val="20"/>
        </w:rPr>
        <w:t xml:space="preserve">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7.1.7. Среднегодовое число публикаций научно-педагогических работников организации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 bof Science или Scopus или не менее 20 в журналах, индексируемых в Российском индексе научного цитирования, или в научных рецензируемых изданиях, определенных в Перечне рецензируемых изданий согласно </w:t>
      </w:r>
      <w:hyperlink r:id="rId22" w:history="1">
        <w:r>
          <w:rPr>
            <w:rFonts w:ascii="Arial" w:hAnsi="Arial" w:cs="Arial"/>
            <w:color w:val="0000FF"/>
            <w:sz w:val="20"/>
            <w:szCs w:val="20"/>
          </w:rPr>
          <w:t>пункту 12</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w:t>
      </w:r>
      <w:r>
        <w:rPr>
          <w:rFonts w:ascii="Arial" w:hAnsi="Arial" w:cs="Arial"/>
          <w:sz w:val="20"/>
          <w:szCs w:val="20"/>
        </w:rPr>
        <w:lastRenderedPageBreak/>
        <w:t>2013 г. N 842 "О порядке присуждения ученых степеней" (Собрание законодательства Российской Федерации, 2013, N 40, ст. 5074).</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7.1.8. В организации, реализующей программы аспирантуры,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23" w:history="1">
        <w:r>
          <w:rPr>
            <w:rFonts w:ascii="Arial" w:hAnsi="Arial" w:cs="Arial"/>
            <w:color w:val="0000FF"/>
            <w:sz w:val="20"/>
            <w:szCs w:val="20"/>
          </w:rPr>
          <w:t>Пункт 4</w:t>
        </w:r>
      </w:hyperlink>
      <w:r>
        <w:rPr>
          <w:rFonts w:ascii="Arial" w:hAnsi="Arial" w:cs="Arial"/>
          <w:sz w:val="20"/>
          <w:szCs w:val="20"/>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аспирантуры.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аспирантуры обеспечивается руководящими и научно-педагогическими работниками организации, а также лицами, привлекаемыми к реализации программы аспирантуры на условиях гражданско-правового договора.</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аспирантуры, должна составлять не менее 70 процентов.</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Научный руководитель, назначенный обучающемуся, должен иметь ученую степень (в том числе ученую степень, присвоенную за рубежом и признаваемую в Российской Федерации), осуществлять самостоятельную научно-исследовательскую, творческую деятельность (участвовать в осуществлении такой деятельности) по направленности (профилю) подготовки, иметь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осуществлять апробацию результатов указанной научно-исследовательской, творческой деятельности на национальных и международных конференциях.</w:t>
      </w:r>
    </w:p>
    <w:p w:rsidR="000E0C6D" w:rsidRDefault="000E0C6D" w:rsidP="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аспирантуры.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Организация должна иметь специальные помещения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информации большой аудитории.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аспирантуры, включает в себя лабораторное оборудование в зависимости от степени сложности, для обеспечения преподавания дисциплин (модулей), осуществления научно-исследовательской деятельности и подготовки научно-квалификационной работы (диссертации), а также обеспечения проведения практик. Конкретные требования к материально-техническому и учебно-методическому обеспечению зависят от направленности программы и определяются в примерных основных образовательных программах.</w:t>
      </w:r>
    </w:p>
    <w:p w:rsidR="000E0C6D" w:rsidRDefault="000E0C6D" w:rsidP="000E0C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обязательной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аспирантуры.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и научно-педагогическим работникам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(в том числе международным реферативным базам данных научных изданий) и информационным справочным системам, состав которых определяется в рабочих программах дисциплин (модулей) и подлежит ежегодному обновлению.</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электронными и (или) печатными образовательными ресурсами в формах, адаптированных к ограничениям их здоровья.</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финансовому обеспечению программы аспирантуры.</w:t>
      </w:r>
    </w:p>
    <w:p w:rsidR="000E0C6D" w:rsidRDefault="000E0C6D" w:rsidP="000E0C6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аспирантуры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6"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autoSpaceDE w:val="0"/>
        <w:autoSpaceDN w:val="0"/>
        <w:adjustRightInd w:val="0"/>
        <w:spacing w:after="0" w:line="240" w:lineRule="auto"/>
        <w:jc w:val="both"/>
        <w:rPr>
          <w:rFonts w:ascii="Arial" w:hAnsi="Arial" w:cs="Arial"/>
          <w:sz w:val="20"/>
          <w:szCs w:val="20"/>
        </w:rPr>
      </w:pPr>
    </w:p>
    <w:p w:rsidR="000E0C6D" w:rsidRDefault="000E0C6D" w:rsidP="000E0C6D">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0E0C6D">
      <w:bookmarkStart w:id="1" w:name="_GoBack"/>
      <w:bookmarkEnd w:id="1"/>
    </w:p>
    <w:sectPr w:rsidR="00363C1B" w:rsidSect="00EB6B07">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21"/>
    <w:rsid w:val="000A1D57"/>
    <w:rsid w:val="000E0C6D"/>
    <w:rsid w:val="002F3ACB"/>
    <w:rsid w:val="00512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2A5D0761CEC79611689BCBE70F0BE01871064E2CB7ED8B8B4A1FF8E44B6E51977EAA02BA7458460864B35C09C0E3363B2D746516825108MDr2H" TargetMode="External"/><Relationship Id="rId13" Type="http://schemas.openxmlformats.org/officeDocument/2006/relationships/hyperlink" Target="consultantplus://offline/ref=542A5D0761CEC79611689BCBE70F0BE01A790E492FB7ED8B8B4A1FF8E44B6E51977EAA02BA745D450F64B35C09C0E3363B2D746516825108MDr2H" TargetMode="External"/><Relationship Id="rId18" Type="http://schemas.openxmlformats.org/officeDocument/2006/relationships/hyperlink" Target="consultantplus://offline/ref=542A5D0761CEC79611689BCBE70F0BE01871064E2CB7ED8B8B4A1FF8E44B6E51977EAA02BA7458470664B35C09C0E3363B2D746516825108MDr2H" TargetMode="External"/><Relationship Id="rId26" Type="http://schemas.openxmlformats.org/officeDocument/2006/relationships/hyperlink" Target="consultantplus://offline/ref=542A5D0761CEC79611689BCBE70F0BE0187C044B2AB7ED8B8B4A1FF8E44B6E51977EAA02BA745D470D64B35C09C0E3363B2D746516825108MDr2H" TargetMode="External"/><Relationship Id="rId3" Type="http://schemas.openxmlformats.org/officeDocument/2006/relationships/settings" Target="settings.xml"/><Relationship Id="rId21" Type="http://schemas.openxmlformats.org/officeDocument/2006/relationships/hyperlink" Target="consultantplus://offline/ref=542A5D0761CEC79611689BCBE70F0BE01878044E2BB1ED8B8B4A1FF8E44B6E51977EAA02BA745D460664B35C09C0E3363B2D746516825108MDr2H" TargetMode="External"/><Relationship Id="rId7" Type="http://schemas.openxmlformats.org/officeDocument/2006/relationships/hyperlink" Target="consultantplus://offline/ref=542A5D0761CEC79611689BCBE70F0BE01B71014C2BBFED8B8B4A1FF8E44B6E51977EAA02BA745D420D64B35C09C0E3363B2D746516825108MDr2H" TargetMode="External"/><Relationship Id="rId12" Type="http://schemas.openxmlformats.org/officeDocument/2006/relationships/hyperlink" Target="consultantplus://offline/ref=542A5D0761CEC79611689BCBE70F0BE01871064E2CB7ED8B8B4A1FF8E44B6E51977EAA02BA7458470F64B35C09C0E3363B2D746516825108MDr2H" TargetMode="External"/><Relationship Id="rId17" Type="http://schemas.openxmlformats.org/officeDocument/2006/relationships/hyperlink" Target="consultantplus://offline/ref=542A5D0761CEC79611689BCBE70F0BE01871064E2CB7ED8B8B4A1FF8E44B6E51977EAA02BA7458470B64B35C09C0E3363B2D746516825108MDr2H" TargetMode="External"/><Relationship Id="rId25" Type="http://schemas.openxmlformats.org/officeDocument/2006/relationships/hyperlink" Target="consultantplus://offline/ref=542A5D0761CEC79611689BCBE70F0BE01871064E2CB7ED8B8B4A1FF8E44B6E51977EAA02BA7458440E64B35C09C0E3363B2D746516825108MDr2H" TargetMode="External"/><Relationship Id="rId2" Type="http://schemas.microsoft.com/office/2007/relationships/stylesWithEffects" Target="stylesWithEffects.xml"/><Relationship Id="rId16" Type="http://schemas.openxmlformats.org/officeDocument/2006/relationships/hyperlink" Target="consultantplus://offline/ref=542A5D0761CEC79611689BCBE70F0BE01A790E492FB7ED8B8B4A1FF8E44B6E51977EAA02BA745D400764B35C09C0E3363B2D746516825108MDr2H" TargetMode="External"/><Relationship Id="rId20" Type="http://schemas.openxmlformats.org/officeDocument/2006/relationships/hyperlink" Target="consultantplus://offline/ref=542A5D0761CEC79611689BCBE70F0BE01B7100432FBEED8B8B4A1FF8E44B6E51857EF20EBB7343470F71E50D4CM9rDH" TargetMode="External"/><Relationship Id="rId1" Type="http://schemas.openxmlformats.org/officeDocument/2006/relationships/styles" Target="styles.xml"/><Relationship Id="rId6" Type="http://schemas.openxmlformats.org/officeDocument/2006/relationships/hyperlink" Target="consultantplus://offline/ref=542A5D0761CEC79611689BCBE70F0BE01871064E2CB7ED8B8B4A1FF8E44B6E51977EAA02BA7458460864B35C09C0E3363B2D746516825108MDr2H" TargetMode="External"/><Relationship Id="rId11" Type="http://schemas.openxmlformats.org/officeDocument/2006/relationships/hyperlink" Target="consultantplus://offline/ref=542A5D0761CEC79611689BCBE70F0BE01871064E2CB7ED8B8B4A1FF8E44B6E51977EAA02BA7458460664B35C09C0E3363B2D746516825108MDr2H" TargetMode="External"/><Relationship Id="rId24" Type="http://schemas.openxmlformats.org/officeDocument/2006/relationships/hyperlink" Target="consultantplus://offline/ref=542A5D0761CEC79611689BCBE70F0BE01871064E2CB7ED8B8B4A1FF8E44B6E51977EAA02BA7458440F64B35C09C0E3363B2D746516825108MDr2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42A5D0761CEC79611689BCBE70F0BE01A790E492FB7ED8B8B4A1FF8E44B6E51977EAA02BA745D400A64B35C09C0E3363B2D746516825108MDr2H" TargetMode="External"/><Relationship Id="rId23" Type="http://schemas.openxmlformats.org/officeDocument/2006/relationships/hyperlink" Target="consultantplus://offline/ref=542A5D0761CEC79611689BCBE70F0BE0187C064F2CBFED8B8B4A1FF8E44B6E51977EAA02BA745D470964B35C09C0E3363B2D746516825108MDr2H" TargetMode="External"/><Relationship Id="rId28" Type="http://schemas.openxmlformats.org/officeDocument/2006/relationships/theme" Target="theme/theme1.xml"/><Relationship Id="rId10" Type="http://schemas.openxmlformats.org/officeDocument/2006/relationships/hyperlink" Target="consultantplus://offline/ref=542A5D0761CEC79611689BCBE70F0BE01B70004C2FB4ED8B8B4A1FF8E44B6E51977EAA02BA745F460F64B35C09C0E3363B2D746516825108MDr2H" TargetMode="External"/><Relationship Id="rId19" Type="http://schemas.openxmlformats.org/officeDocument/2006/relationships/hyperlink" Target="consultantplus://offline/ref=542A5D0761CEC79611689BCBE70F0BE01A7904432DB2ED8B8B4A1FF8E44B6E51857EF20EBB7343470F71E50D4CM9rDH" TargetMode="External"/><Relationship Id="rId4" Type="http://schemas.openxmlformats.org/officeDocument/2006/relationships/webSettings" Target="webSettings.xml"/><Relationship Id="rId9" Type="http://schemas.openxmlformats.org/officeDocument/2006/relationships/hyperlink" Target="consultantplus://offline/ref=542A5D0761CEC79611689BCBE70F0BE01B70024D2ABFED8B8B4A1FF8E44B6E51977EAA02BA745D470664B35C09C0E3363B2D746516825108MDr2H" TargetMode="External"/><Relationship Id="rId14" Type="http://schemas.openxmlformats.org/officeDocument/2006/relationships/hyperlink" Target="consultantplus://offline/ref=542A5D0761CEC79611689BCBE70F0BE01871064E2CB7ED8B8B4A1FF8E44B6E51977EAA02BA7458470E64B35C09C0E3363B2D746516825108MDr2H" TargetMode="External"/><Relationship Id="rId22" Type="http://schemas.openxmlformats.org/officeDocument/2006/relationships/hyperlink" Target="consultantplus://offline/ref=542A5D0761CEC79611689BCBE70F0BE01A790E492FB7ED8B8B4A1FF8E44B6E51977EAA02BA745D430D64B35C09C0E3363B2D746516825108MDr2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4800</Words>
  <Characters>27365</Characters>
  <Application>Microsoft Office Word</Application>
  <DocSecurity>0</DocSecurity>
  <Lines>228</Lines>
  <Paragraphs>64</Paragraphs>
  <ScaleCrop>false</ScaleCrop>
  <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2018-10-17T07:43:00Z</dcterms:created>
  <dcterms:modified xsi:type="dcterms:W3CDTF">2018-10-17T07:43:00Z</dcterms:modified>
</cp:coreProperties>
</file>